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00" w:rsidRDefault="00AA2400" w:rsidP="007A7104">
      <w:pPr>
        <w:pStyle w:val="MediumGrid21"/>
        <w:jc w:val="both"/>
        <w:rPr>
          <w:rFonts w:ascii="Times New Roman" w:hAnsi="Times New Roman"/>
        </w:rPr>
      </w:pPr>
    </w:p>
    <w:p w:rsidR="00AA2400" w:rsidRDefault="00AA2400" w:rsidP="007A7104">
      <w:pPr>
        <w:pStyle w:val="MediumGrid21"/>
        <w:jc w:val="both"/>
        <w:rPr>
          <w:rFonts w:ascii="Times New Roman" w:hAnsi="Times New Roman"/>
        </w:rPr>
      </w:pPr>
    </w:p>
    <w:p w:rsidR="00AA2400" w:rsidRDefault="00AA2400" w:rsidP="007A7104">
      <w:pPr>
        <w:pStyle w:val="MediumGrid21"/>
        <w:jc w:val="both"/>
        <w:rPr>
          <w:rFonts w:ascii="Times New Roman" w:hAnsi="Times New Roman"/>
        </w:rPr>
      </w:pPr>
    </w:p>
    <w:p w:rsidR="00AA2400" w:rsidRDefault="00AA2400" w:rsidP="007A7104">
      <w:pPr>
        <w:pStyle w:val="MediumGrid21"/>
        <w:jc w:val="both"/>
        <w:rPr>
          <w:rFonts w:ascii="Times New Roman" w:hAnsi="Times New Roman"/>
        </w:rPr>
      </w:pPr>
    </w:p>
    <w:p w:rsidR="00AA2400" w:rsidRDefault="00AA2400" w:rsidP="007A7104">
      <w:pPr>
        <w:pStyle w:val="MediumGrid21"/>
        <w:jc w:val="both"/>
        <w:rPr>
          <w:rFonts w:ascii="Times New Roman" w:hAnsi="Times New Roman"/>
        </w:rPr>
      </w:pPr>
    </w:p>
    <w:p w:rsidR="005438B9" w:rsidRPr="005049BF" w:rsidRDefault="00EA49AA" w:rsidP="004D2A49">
      <w:pPr>
        <w:pStyle w:val="MediumGrid21"/>
        <w:ind w:right="-270"/>
        <w:jc w:val="both"/>
        <w:rPr>
          <w:rFonts w:ascii="Times New Roman" w:hAnsi="Times New Roman"/>
        </w:rPr>
      </w:pPr>
      <w:r>
        <w:rPr>
          <w:rFonts w:ascii="Times New Roman" w:hAnsi="Times New Roman"/>
        </w:rPr>
        <w:t>February 15</w:t>
      </w:r>
      <w:r w:rsidR="005438B9" w:rsidRPr="005049BF">
        <w:rPr>
          <w:rFonts w:ascii="Times New Roman" w:hAnsi="Times New Roman"/>
        </w:rPr>
        <w:t>, 2017</w:t>
      </w:r>
    </w:p>
    <w:p w:rsidR="005438B9" w:rsidRPr="005049BF" w:rsidRDefault="005438B9" w:rsidP="004D2A49">
      <w:pPr>
        <w:pStyle w:val="MediumGrid21"/>
        <w:ind w:right="-270"/>
        <w:jc w:val="both"/>
        <w:rPr>
          <w:rFonts w:ascii="Times New Roman" w:hAnsi="Times New Roman"/>
        </w:rPr>
      </w:pPr>
    </w:p>
    <w:p w:rsidR="00924261" w:rsidRPr="005049BF" w:rsidRDefault="00FB04D1" w:rsidP="004D2A49">
      <w:pPr>
        <w:pStyle w:val="MediumGrid21"/>
        <w:ind w:right="-270"/>
        <w:jc w:val="both"/>
        <w:rPr>
          <w:rFonts w:ascii="Times New Roman" w:hAnsi="Times New Roman"/>
          <w:b/>
        </w:rPr>
      </w:pPr>
      <w:r w:rsidRPr="005049BF">
        <w:rPr>
          <w:rFonts w:ascii="Times New Roman" w:hAnsi="Times New Roman"/>
          <w:b/>
        </w:rPr>
        <w:t>CONFIDENTIAL</w:t>
      </w:r>
    </w:p>
    <w:p w:rsidR="00FB04D1" w:rsidRPr="005049BF" w:rsidRDefault="00FB04D1" w:rsidP="004D2A49">
      <w:pPr>
        <w:pStyle w:val="MediumGrid21"/>
        <w:ind w:right="-270"/>
        <w:jc w:val="both"/>
        <w:rPr>
          <w:rFonts w:ascii="Times New Roman" w:hAnsi="Times New Roman"/>
          <w:b/>
        </w:rPr>
      </w:pPr>
      <w:r w:rsidRPr="005049BF">
        <w:rPr>
          <w:rFonts w:ascii="Times New Roman" w:hAnsi="Times New Roman"/>
          <w:b/>
        </w:rPr>
        <w:t>Advisory Opinion</w:t>
      </w:r>
      <w:r w:rsidR="00422254" w:rsidRPr="005049BF">
        <w:rPr>
          <w:rFonts w:ascii="Times New Roman" w:hAnsi="Times New Roman"/>
          <w:b/>
        </w:rPr>
        <w:t xml:space="preserve">, </w:t>
      </w:r>
      <w:r w:rsidRPr="005049BF">
        <w:rPr>
          <w:rFonts w:ascii="Times New Roman" w:hAnsi="Times New Roman"/>
          <w:b/>
        </w:rPr>
        <w:t>Case No. 17004.A</w:t>
      </w:r>
      <w:r w:rsidR="005438B9" w:rsidRPr="005049BF">
        <w:rPr>
          <w:rFonts w:ascii="Times New Roman" w:hAnsi="Times New Roman"/>
          <w:b/>
        </w:rPr>
        <w:t>, Gifts</w:t>
      </w:r>
    </w:p>
    <w:p w:rsidR="00FB04D1" w:rsidRPr="005049BF" w:rsidRDefault="00FB04D1" w:rsidP="004D2A49">
      <w:pPr>
        <w:pStyle w:val="MediumGrid21"/>
        <w:ind w:right="-270"/>
        <w:jc w:val="both"/>
        <w:rPr>
          <w:rFonts w:ascii="Times New Roman" w:hAnsi="Times New Roman"/>
        </w:rPr>
      </w:pPr>
    </w:p>
    <w:p w:rsidR="00FB04D1" w:rsidRPr="005049BF" w:rsidRDefault="000C1B8C" w:rsidP="004D2A49">
      <w:pPr>
        <w:pStyle w:val="MediumGrid21"/>
        <w:ind w:right="-270"/>
        <w:jc w:val="both"/>
        <w:rPr>
          <w:rFonts w:ascii="Times New Roman" w:hAnsi="Times New Roman"/>
        </w:rPr>
      </w:pPr>
      <w:r>
        <w:rPr>
          <w:rFonts w:ascii="Times New Roman" w:hAnsi="Times New Roman"/>
        </w:rPr>
        <w:t>[</w:t>
      </w:r>
      <w:proofErr w:type="gramStart"/>
      <w:r>
        <w:rPr>
          <w:rFonts w:ascii="Times New Roman" w:hAnsi="Times New Roman"/>
        </w:rPr>
        <w:t>addressee</w:t>
      </w:r>
      <w:proofErr w:type="gramEnd"/>
      <w:r>
        <w:rPr>
          <w:rFonts w:ascii="Times New Roman" w:hAnsi="Times New Roman"/>
        </w:rPr>
        <w:t>]</w:t>
      </w:r>
    </w:p>
    <w:p w:rsidR="00FB04D1" w:rsidRPr="005049BF" w:rsidRDefault="00FB04D1" w:rsidP="004D2A49">
      <w:pPr>
        <w:pStyle w:val="MediumGrid21"/>
        <w:ind w:right="-270"/>
        <w:jc w:val="both"/>
        <w:rPr>
          <w:rFonts w:ascii="Times New Roman" w:hAnsi="Times New Roman"/>
        </w:rPr>
      </w:pPr>
    </w:p>
    <w:p w:rsidR="00FB04D1" w:rsidRPr="005049BF" w:rsidRDefault="00FB04D1" w:rsidP="004D2A49">
      <w:pPr>
        <w:pStyle w:val="MediumGrid21"/>
        <w:ind w:right="-270"/>
        <w:jc w:val="both"/>
        <w:rPr>
          <w:rFonts w:ascii="Times New Roman" w:hAnsi="Times New Roman"/>
        </w:rPr>
      </w:pPr>
      <w:r w:rsidRPr="005049BF">
        <w:rPr>
          <w:rFonts w:ascii="Times New Roman" w:hAnsi="Times New Roman"/>
        </w:rPr>
        <w:t xml:space="preserve">Dear </w:t>
      </w:r>
      <w:r w:rsidR="000C1B8C">
        <w:rPr>
          <w:rFonts w:ascii="Times New Roman" w:hAnsi="Times New Roman"/>
        </w:rPr>
        <w:t xml:space="preserve"> </w:t>
      </w:r>
    </w:p>
    <w:p w:rsidR="00FB04D1" w:rsidRPr="005049BF" w:rsidRDefault="00FB04D1" w:rsidP="004D2A49">
      <w:pPr>
        <w:pStyle w:val="MediumGrid21"/>
        <w:ind w:right="-270"/>
        <w:jc w:val="both"/>
        <w:rPr>
          <w:rFonts w:ascii="Times New Roman" w:hAnsi="Times New Roman"/>
        </w:rPr>
      </w:pPr>
    </w:p>
    <w:p w:rsidR="005438B9" w:rsidRPr="005049BF" w:rsidRDefault="006425D4" w:rsidP="004D2A49">
      <w:pPr>
        <w:pStyle w:val="MediumGrid21"/>
        <w:ind w:right="-270"/>
        <w:jc w:val="both"/>
        <w:rPr>
          <w:rFonts w:ascii="Times New Roman" w:hAnsi="Times New Roman"/>
        </w:rPr>
      </w:pPr>
      <w:proofErr w:type="gramStart"/>
      <w:r w:rsidRPr="005049BF">
        <w:rPr>
          <w:rFonts w:ascii="Times New Roman" w:hAnsi="Times New Roman"/>
        </w:rPr>
        <w:t xml:space="preserve">On </w:t>
      </w:r>
      <w:r w:rsidR="000C1B8C">
        <w:rPr>
          <w:rFonts w:ascii="Times New Roman" w:hAnsi="Times New Roman"/>
        </w:rPr>
        <w:t xml:space="preserve"> [</w:t>
      </w:r>
      <w:proofErr w:type="gramEnd"/>
      <w:r w:rsidR="000C1B8C">
        <w:rPr>
          <w:rFonts w:ascii="Times New Roman" w:hAnsi="Times New Roman"/>
        </w:rPr>
        <w:t xml:space="preserve">date]        </w:t>
      </w:r>
      <w:r w:rsidRPr="005049BF">
        <w:rPr>
          <w:rFonts w:ascii="Times New Roman" w:hAnsi="Times New Roman"/>
        </w:rPr>
        <w:t xml:space="preserve">, you </w:t>
      </w:r>
      <w:r w:rsidR="00554B4E" w:rsidRPr="005049BF">
        <w:rPr>
          <w:rFonts w:ascii="Times New Roman" w:hAnsi="Times New Roman"/>
        </w:rPr>
        <w:t xml:space="preserve">spoke </w:t>
      </w:r>
      <w:r w:rsidRPr="005049BF">
        <w:rPr>
          <w:rFonts w:ascii="Times New Roman" w:hAnsi="Times New Roman"/>
        </w:rPr>
        <w:t xml:space="preserve">with Steve Berlin, </w:t>
      </w:r>
      <w:r w:rsidR="00A97778">
        <w:rPr>
          <w:rFonts w:ascii="Times New Roman" w:hAnsi="Times New Roman"/>
        </w:rPr>
        <w:t>our</w:t>
      </w:r>
      <w:r w:rsidR="00422254">
        <w:rPr>
          <w:rFonts w:ascii="Times New Roman" w:hAnsi="Times New Roman"/>
        </w:rPr>
        <w:t xml:space="preserve"> </w:t>
      </w:r>
      <w:r w:rsidRPr="005049BF">
        <w:rPr>
          <w:rFonts w:ascii="Times New Roman" w:hAnsi="Times New Roman"/>
        </w:rPr>
        <w:t xml:space="preserve">Executive Director, and </w:t>
      </w:r>
      <w:r w:rsidR="005438B9" w:rsidRPr="005049BF">
        <w:rPr>
          <w:rFonts w:ascii="Times New Roman" w:hAnsi="Times New Roman"/>
        </w:rPr>
        <w:t xml:space="preserve">requested a formal advisory opinion addressing </w:t>
      </w:r>
      <w:r w:rsidRPr="005049BF">
        <w:rPr>
          <w:rFonts w:ascii="Times New Roman" w:hAnsi="Times New Roman"/>
        </w:rPr>
        <w:t>the following</w:t>
      </w:r>
      <w:r w:rsidR="005438B9" w:rsidRPr="005049BF">
        <w:rPr>
          <w:rFonts w:ascii="Times New Roman" w:hAnsi="Times New Roman"/>
        </w:rPr>
        <w:t xml:space="preserve"> situation</w:t>
      </w:r>
      <w:r w:rsidR="00481214" w:rsidRPr="005049BF">
        <w:rPr>
          <w:rFonts w:ascii="Times New Roman" w:hAnsi="Times New Roman"/>
        </w:rPr>
        <w:t>:</w:t>
      </w:r>
      <w:r w:rsidR="00422254">
        <w:rPr>
          <w:rFonts w:ascii="Times New Roman" w:hAnsi="Times New Roman"/>
        </w:rPr>
        <w:t xml:space="preserve"> </w:t>
      </w:r>
      <w:r w:rsidR="000C1B8C">
        <w:rPr>
          <w:rFonts w:ascii="Times New Roman" w:hAnsi="Times New Roman"/>
        </w:rPr>
        <w:t xml:space="preserve">             </w:t>
      </w:r>
      <w:r w:rsidR="000437B1">
        <w:rPr>
          <w:rFonts w:ascii="Times New Roman" w:hAnsi="Times New Roman"/>
        </w:rPr>
        <w:t xml:space="preserve"> t</w:t>
      </w:r>
      <w:r w:rsidRPr="005049BF">
        <w:rPr>
          <w:rFonts w:ascii="Times New Roman" w:hAnsi="Times New Roman"/>
        </w:rPr>
        <w:t xml:space="preserve">he </w:t>
      </w:r>
      <w:r w:rsidR="001C5253">
        <w:rPr>
          <w:rFonts w:ascii="Times New Roman" w:hAnsi="Times New Roman"/>
        </w:rPr>
        <w:t>previous day</w:t>
      </w:r>
      <w:r w:rsidRPr="005049BF">
        <w:rPr>
          <w:rFonts w:ascii="Times New Roman" w:hAnsi="Times New Roman"/>
        </w:rPr>
        <w:t xml:space="preserve">, </w:t>
      </w:r>
      <w:r w:rsidR="000C1B8C">
        <w:rPr>
          <w:rFonts w:ascii="Times New Roman" w:hAnsi="Times New Roman"/>
        </w:rPr>
        <w:t xml:space="preserve">[a covered relative of one of your department’s employees, E]        </w:t>
      </w:r>
      <w:r w:rsidRPr="005049BF">
        <w:rPr>
          <w:rFonts w:ascii="Times New Roman" w:hAnsi="Times New Roman"/>
        </w:rPr>
        <w:t xml:space="preserve">died </w:t>
      </w:r>
      <w:r w:rsidR="000C1B8C">
        <w:rPr>
          <w:rFonts w:ascii="Times New Roman" w:hAnsi="Times New Roman"/>
        </w:rPr>
        <w:t xml:space="preserve">                </w:t>
      </w:r>
      <w:r w:rsidR="006A1C9B">
        <w:rPr>
          <w:rFonts w:ascii="Times New Roman" w:hAnsi="Times New Roman"/>
        </w:rPr>
        <w:t xml:space="preserve">. </w:t>
      </w:r>
      <w:r w:rsidR="000C1B8C">
        <w:rPr>
          <w:rFonts w:ascii="Times New Roman" w:hAnsi="Times New Roman"/>
        </w:rPr>
        <w:t xml:space="preserve"> [The covered relative]   </w:t>
      </w:r>
      <w:r w:rsidR="00413637">
        <w:rPr>
          <w:rFonts w:ascii="Times New Roman" w:hAnsi="Times New Roman"/>
        </w:rPr>
        <w:t xml:space="preserve"> is</w:t>
      </w:r>
      <w:r w:rsidRPr="005049BF">
        <w:rPr>
          <w:rFonts w:ascii="Times New Roman" w:hAnsi="Times New Roman"/>
        </w:rPr>
        <w:t xml:space="preserve"> survived by </w:t>
      </w:r>
      <w:r w:rsidR="000C1B8C">
        <w:rPr>
          <w:rFonts w:ascii="Times New Roman" w:hAnsi="Times New Roman"/>
        </w:rPr>
        <w:t xml:space="preserve">[E and a </w:t>
      </w:r>
      <w:r w:rsidR="008B6CA2">
        <w:rPr>
          <w:rFonts w:ascii="Times New Roman" w:hAnsi="Times New Roman"/>
        </w:rPr>
        <w:t>minor</w:t>
      </w:r>
      <w:r w:rsidR="000C1B8C">
        <w:rPr>
          <w:rFonts w:ascii="Times New Roman" w:hAnsi="Times New Roman"/>
        </w:rPr>
        <w:t xml:space="preserve"> child]</w:t>
      </w:r>
      <w:r w:rsidRPr="005049BF">
        <w:rPr>
          <w:rFonts w:ascii="Times New Roman" w:hAnsi="Times New Roman"/>
        </w:rPr>
        <w:t>. You asked</w:t>
      </w:r>
      <w:r w:rsidR="00A97778">
        <w:rPr>
          <w:rFonts w:ascii="Times New Roman" w:hAnsi="Times New Roman"/>
        </w:rPr>
        <w:t xml:space="preserve"> </w:t>
      </w:r>
      <w:r w:rsidR="005438B9" w:rsidRPr="005049BF">
        <w:rPr>
          <w:rFonts w:ascii="Times New Roman" w:hAnsi="Times New Roman"/>
        </w:rPr>
        <w:t>how the City’s Governmental Ethics Ordinance (the “Ordinance”) would apply to the following</w:t>
      </w:r>
      <w:r w:rsidRPr="005049BF">
        <w:rPr>
          <w:rFonts w:ascii="Times New Roman" w:hAnsi="Times New Roman"/>
        </w:rPr>
        <w:t xml:space="preserve"> two scenarios: (i) </w:t>
      </w:r>
      <w:r w:rsidR="000C1B8C">
        <w:rPr>
          <w:rFonts w:ascii="Times New Roman" w:hAnsi="Times New Roman"/>
        </w:rPr>
        <w:t xml:space="preserve">an             association]                                                              </w:t>
      </w:r>
      <w:r w:rsidRPr="005049BF">
        <w:rPr>
          <w:rFonts w:ascii="Times New Roman" w:hAnsi="Times New Roman"/>
        </w:rPr>
        <w:t xml:space="preserve"> wish</w:t>
      </w:r>
      <w:r w:rsidR="000C1B8C">
        <w:rPr>
          <w:rFonts w:ascii="Times New Roman" w:hAnsi="Times New Roman"/>
        </w:rPr>
        <w:t>es t</w:t>
      </w:r>
      <w:r w:rsidRPr="005049BF">
        <w:rPr>
          <w:rFonts w:ascii="Times New Roman" w:hAnsi="Times New Roman"/>
        </w:rPr>
        <w:t xml:space="preserve">o take up a collection for </w:t>
      </w:r>
      <w:r w:rsidR="000C1B8C">
        <w:rPr>
          <w:rFonts w:ascii="Times New Roman" w:hAnsi="Times New Roman"/>
        </w:rPr>
        <w:t xml:space="preserve">E            </w:t>
      </w:r>
      <w:r w:rsidR="005438B9" w:rsidRPr="005049BF">
        <w:rPr>
          <w:rFonts w:ascii="Times New Roman" w:hAnsi="Times New Roman"/>
        </w:rPr>
        <w:t xml:space="preserve"> – donations would include in-kind services like child care, or cash or checks</w:t>
      </w:r>
      <w:r w:rsidRPr="005049BF">
        <w:rPr>
          <w:rFonts w:ascii="Times New Roman" w:hAnsi="Times New Roman"/>
        </w:rPr>
        <w:t xml:space="preserve">; and (ii) </w:t>
      </w:r>
      <w:r w:rsidR="00422254">
        <w:rPr>
          <w:rFonts w:ascii="Times New Roman" w:hAnsi="Times New Roman"/>
        </w:rPr>
        <w:t>his</w:t>
      </w:r>
      <w:r w:rsidRPr="005049BF">
        <w:rPr>
          <w:rFonts w:ascii="Times New Roman" w:hAnsi="Times New Roman"/>
        </w:rPr>
        <w:t xml:space="preserve"> friends wish t</w:t>
      </w:r>
      <w:r w:rsidR="001763A5" w:rsidRPr="005049BF">
        <w:rPr>
          <w:rFonts w:ascii="Times New Roman" w:hAnsi="Times New Roman"/>
        </w:rPr>
        <w:t>o h</w:t>
      </w:r>
      <w:r w:rsidR="00FC3921" w:rsidRPr="005049BF">
        <w:rPr>
          <w:rFonts w:ascii="Times New Roman" w:hAnsi="Times New Roman"/>
        </w:rPr>
        <w:t>ost</w:t>
      </w:r>
      <w:r w:rsidR="001763A5" w:rsidRPr="005049BF">
        <w:rPr>
          <w:rFonts w:ascii="Times New Roman" w:hAnsi="Times New Roman"/>
        </w:rPr>
        <w:t xml:space="preserve"> a </w:t>
      </w:r>
      <w:proofErr w:type="spellStart"/>
      <w:r w:rsidR="001763A5" w:rsidRPr="005049BF">
        <w:rPr>
          <w:rFonts w:ascii="Times New Roman" w:hAnsi="Times New Roman"/>
        </w:rPr>
        <w:t>GoFundMe</w:t>
      </w:r>
      <w:proofErr w:type="spellEnd"/>
      <w:r w:rsidR="001763A5" w:rsidRPr="005049BF">
        <w:rPr>
          <w:rFonts w:ascii="Times New Roman" w:hAnsi="Times New Roman"/>
        </w:rPr>
        <w:t xml:space="preserve"> page for </w:t>
      </w:r>
      <w:r w:rsidR="000C1B8C">
        <w:rPr>
          <w:rFonts w:ascii="Times New Roman" w:hAnsi="Times New Roman"/>
        </w:rPr>
        <w:t>E,</w:t>
      </w:r>
      <w:r w:rsidR="005438B9" w:rsidRPr="005049BF">
        <w:rPr>
          <w:rFonts w:ascii="Times New Roman" w:hAnsi="Times New Roman"/>
        </w:rPr>
        <w:t xml:space="preserve"> which would also yield cash</w:t>
      </w:r>
      <w:r w:rsidR="007B4A64">
        <w:rPr>
          <w:rFonts w:ascii="Times New Roman" w:hAnsi="Times New Roman"/>
        </w:rPr>
        <w:t xml:space="preserve"> or its equivalent</w:t>
      </w:r>
      <w:r w:rsidR="001763A5" w:rsidRPr="005049BF">
        <w:rPr>
          <w:rFonts w:ascii="Times New Roman" w:hAnsi="Times New Roman"/>
        </w:rPr>
        <w:t>.</w:t>
      </w:r>
      <w:r w:rsidR="004B2E7F">
        <w:rPr>
          <w:rStyle w:val="FootnoteReference"/>
          <w:rFonts w:ascii="Times New Roman" w:hAnsi="Times New Roman"/>
        </w:rPr>
        <w:footnoteReference w:id="1"/>
      </w:r>
      <w:r w:rsidR="001763A5" w:rsidRPr="005049BF">
        <w:rPr>
          <w:rFonts w:ascii="Times New Roman" w:hAnsi="Times New Roman"/>
        </w:rPr>
        <w:t xml:space="preserve"> </w:t>
      </w:r>
    </w:p>
    <w:p w:rsidR="005438B9" w:rsidRPr="005049BF" w:rsidRDefault="005438B9" w:rsidP="004D2A49">
      <w:pPr>
        <w:pStyle w:val="MediumGrid21"/>
        <w:ind w:right="-270"/>
        <w:jc w:val="both"/>
        <w:rPr>
          <w:rFonts w:ascii="Times New Roman" w:hAnsi="Times New Roman"/>
        </w:rPr>
      </w:pPr>
    </w:p>
    <w:p w:rsidR="0086167D" w:rsidRPr="005049BF" w:rsidRDefault="006425D4" w:rsidP="004D2A49">
      <w:pPr>
        <w:pStyle w:val="MediumGrid21"/>
        <w:ind w:right="-270"/>
        <w:jc w:val="both"/>
        <w:rPr>
          <w:rFonts w:ascii="Times New Roman" w:hAnsi="Times New Roman"/>
        </w:rPr>
      </w:pPr>
      <w:r w:rsidRPr="005049BF">
        <w:rPr>
          <w:rFonts w:ascii="Times New Roman" w:hAnsi="Times New Roman"/>
        </w:rPr>
        <w:t>The question</w:t>
      </w:r>
      <w:r w:rsidR="00422254">
        <w:rPr>
          <w:rFonts w:ascii="Times New Roman" w:hAnsi="Times New Roman"/>
        </w:rPr>
        <w:t xml:space="preserve"> we address is whether</w:t>
      </w:r>
      <w:r w:rsidR="005438B9" w:rsidRPr="005049BF">
        <w:rPr>
          <w:rFonts w:ascii="Times New Roman" w:hAnsi="Times New Roman"/>
        </w:rPr>
        <w:t>,</w:t>
      </w:r>
      <w:r w:rsidRPr="005049BF">
        <w:rPr>
          <w:rFonts w:ascii="Times New Roman" w:hAnsi="Times New Roman"/>
        </w:rPr>
        <w:t xml:space="preserve"> under the </w:t>
      </w:r>
      <w:r w:rsidR="005438B9" w:rsidRPr="005049BF">
        <w:rPr>
          <w:rFonts w:ascii="Times New Roman" w:hAnsi="Times New Roman"/>
        </w:rPr>
        <w:t xml:space="preserve">Ordinance’s </w:t>
      </w:r>
      <w:r w:rsidRPr="005049BF">
        <w:rPr>
          <w:rFonts w:ascii="Times New Roman" w:hAnsi="Times New Roman"/>
        </w:rPr>
        <w:t xml:space="preserve">gift </w:t>
      </w:r>
      <w:r w:rsidR="005438B9" w:rsidRPr="005049BF">
        <w:rPr>
          <w:rFonts w:ascii="Times New Roman" w:hAnsi="Times New Roman"/>
        </w:rPr>
        <w:t>restrictions,</w:t>
      </w:r>
      <w:r w:rsidRPr="005049BF">
        <w:rPr>
          <w:rStyle w:val="FootnoteReference"/>
          <w:rFonts w:ascii="Times New Roman" w:hAnsi="Times New Roman"/>
        </w:rPr>
        <w:footnoteReference w:id="2"/>
      </w:r>
      <w:r w:rsidRPr="005049BF">
        <w:rPr>
          <w:rFonts w:ascii="Times New Roman" w:hAnsi="Times New Roman"/>
        </w:rPr>
        <w:t xml:space="preserve"> </w:t>
      </w:r>
      <w:r w:rsidR="001763A5" w:rsidRPr="005049BF">
        <w:rPr>
          <w:rFonts w:ascii="Times New Roman" w:hAnsi="Times New Roman"/>
        </w:rPr>
        <w:t>either method</w:t>
      </w:r>
      <w:r w:rsidR="00B9423B">
        <w:rPr>
          <w:rFonts w:ascii="Times New Roman" w:hAnsi="Times New Roman"/>
        </w:rPr>
        <w:t xml:space="preserve"> </w:t>
      </w:r>
      <w:r w:rsidR="001763A5" w:rsidRPr="005049BF">
        <w:rPr>
          <w:rFonts w:ascii="Times New Roman" w:hAnsi="Times New Roman"/>
        </w:rPr>
        <w:t>is permissible.</w:t>
      </w:r>
      <w:r w:rsidRPr="005049BF">
        <w:rPr>
          <w:rFonts w:ascii="Times New Roman" w:hAnsi="Times New Roman"/>
        </w:rPr>
        <w:t xml:space="preserve"> </w:t>
      </w:r>
    </w:p>
    <w:p w:rsidR="00A354B8" w:rsidRDefault="001763A5" w:rsidP="004D2A49">
      <w:pPr>
        <w:pStyle w:val="MediumGrid21"/>
        <w:ind w:right="-270"/>
        <w:jc w:val="both"/>
        <w:rPr>
          <w:rFonts w:ascii="Times New Roman" w:hAnsi="Times New Roman"/>
        </w:rPr>
      </w:pPr>
      <w:r w:rsidRPr="005049BF">
        <w:rPr>
          <w:rFonts w:ascii="Times New Roman" w:hAnsi="Times New Roman"/>
        </w:rPr>
        <w:t>After careful</w:t>
      </w:r>
      <w:r w:rsidR="00422254">
        <w:rPr>
          <w:rFonts w:ascii="Times New Roman" w:hAnsi="Times New Roman"/>
        </w:rPr>
        <w:t>ly</w:t>
      </w:r>
      <w:r w:rsidRPr="005049BF">
        <w:rPr>
          <w:rFonts w:ascii="Times New Roman" w:hAnsi="Times New Roman"/>
        </w:rPr>
        <w:t xml:space="preserve"> consider</w:t>
      </w:r>
      <w:r w:rsidR="00422254">
        <w:rPr>
          <w:rFonts w:ascii="Times New Roman" w:hAnsi="Times New Roman"/>
        </w:rPr>
        <w:t>ing</w:t>
      </w:r>
      <w:r w:rsidRPr="005049BF">
        <w:rPr>
          <w:rFonts w:ascii="Times New Roman" w:hAnsi="Times New Roman"/>
        </w:rPr>
        <w:t xml:space="preserve"> your question, the facts </w:t>
      </w:r>
      <w:r w:rsidR="0086167D" w:rsidRPr="005049BF">
        <w:rPr>
          <w:rFonts w:ascii="Times New Roman" w:hAnsi="Times New Roman"/>
        </w:rPr>
        <w:t xml:space="preserve">presented, </w:t>
      </w:r>
      <w:r w:rsidRPr="005049BF">
        <w:rPr>
          <w:rFonts w:ascii="Times New Roman" w:hAnsi="Times New Roman"/>
        </w:rPr>
        <w:t xml:space="preserve">and </w:t>
      </w:r>
      <w:r w:rsidR="0086167D" w:rsidRPr="005049BF">
        <w:rPr>
          <w:rFonts w:ascii="Times New Roman" w:hAnsi="Times New Roman"/>
        </w:rPr>
        <w:t xml:space="preserve">applicable </w:t>
      </w:r>
      <w:r w:rsidR="00422254">
        <w:rPr>
          <w:rFonts w:ascii="Times New Roman" w:hAnsi="Times New Roman"/>
        </w:rPr>
        <w:t>Board precedent</w:t>
      </w:r>
      <w:r w:rsidRPr="005049BF">
        <w:rPr>
          <w:rFonts w:ascii="Times New Roman" w:hAnsi="Times New Roman"/>
        </w:rPr>
        <w:t xml:space="preserve">, </w:t>
      </w:r>
      <w:r w:rsidR="005049BF">
        <w:rPr>
          <w:rFonts w:ascii="Times New Roman" w:hAnsi="Times New Roman"/>
        </w:rPr>
        <w:t>the Board</w:t>
      </w:r>
      <w:r w:rsidR="00422254">
        <w:rPr>
          <w:rFonts w:ascii="Times New Roman" w:hAnsi="Times New Roman"/>
        </w:rPr>
        <w:t xml:space="preserve"> ha</w:t>
      </w:r>
      <w:r w:rsidR="005049BF">
        <w:rPr>
          <w:rFonts w:ascii="Times New Roman" w:hAnsi="Times New Roman"/>
        </w:rPr>
        <w:t>s</w:t>
      </w:r>
      <w:r w:rsidR="00422254">
        <w:rPr>
          <w:rFonts w:ascii="Times New Roman" w:hAnsi="Times New Roman"/>
        </w:rPr>
        <w:t xml:space="preserve"> </w:t>
      </w:r>
      <w:r w:rsidRPr="005049BF">
        <w:rPr>
          <w:rFonts w:ascii="Times New Roman" w:hAnsi="Times New Roman"/>
        </w:rPr>
        <w:t>determined that</w:t>
      </w:r>
      <w:r w:rsidR="005049BF">
        <w:rPr>
          <w:rFonts w:ascii="Times New Roman" w:hAnsi="Times New Roman"/>
        </w:rPr>
        <w:t>, in this tragic circumstance,</w:t>
      </w:r>
      <w:r w:rsidR="0011223B" w:rsidRPr="005049BF">
        <w:rPr>
          <w:rFonts w:ascii="Times New Roman" w:hAnsi="Times New Roman"/>
        </w:rPr>
        <w:t xml:space="preserve"> </w:t>
      </w:r>
      <w:r w:rsidRPr="005049BF">
        <w:rPr>
          <w:rFonts w:ascii="Times New Roman" w:hAnsi="Times New Roman"/>
        </w:rPr>
        <w:t xml:space="preserve">both </w:t>
      </w:r>
      <w:r w:rsidR="00B9423B">
        <w:rPr>
          <w:rFonts w:ascii="Times New Roman" w:hAnsi="Times New Roman"/>
        </w:rPr>
        <w:t>fund-raising</w:t>
      </w:r>
      <w:r w:rsidR="00B9423B" w:rsidRPr="005049BF">
        <w:rPr>
          <w:rFonts w:ascii="Times New Roman" w:hAnsi="Times New Roman"/>
        </w:rPr>
        <w:t xml:space="preserve"> </w:t>
      </w:r>
      <w:r w:rsidRPr="005049BF">
        <w:rPr>
          <w:rFonts w:ascii="Times New Roman" w:hAnsi="Times New Roman"/>
        </w:rPr>
        <w:t>methods are acceptabl</w:t>
      </w:r>
      <w:r w:rsidR="00A354B8">
        <w:rPr>
          <w:rFonts w:ascii="Times New Roman" w:hAnsi="Times New Roman"/>
        </w:rPr>
        <w:t>e</w:t>
      </w:r>
      <w:r w:rsidR="00B9423B">
        <w:rPr>
          <w:rFonts w:ascii="Times New Roman" w:hAnsi="Times New Roman"/>
        </w:rPr>
        <w:t xml:space="preserve"> under the Ordinance</w:t>
      </w:r>
      <w:r w:rsidR="00C6234A">
        <w:rPr>
          <w:rFonts w:ascii="Times New Roman" w:hAnsi="Times New Roman"/>
        </w:rPr>
        <w:t>: that is, p</w:t>
      </w:r>
      <w:r w:rsidRPr="005049BF">
        <w:rPr>
          <w:rFonts w:ascii="Times New Roman" w:hAnsi="Times New Roman"/>
        </w:rPr>
        <w:t xml:space="preserve">eople </w:t>
      </w:r>
      <w:r w:rsidRPr="005049BF">
        <w:rPr>
          <w:rFonts w:ascii="Times New Roman" w:hAnsi="Times New Roman"/>
          <w:i/>
        </w:rPr>
        <w:t>may</w:t>
      </w:r>
      <w:r w:rsidR="00FC3921" w:rsidRPr="005049BF">
        <w:rPr>
          <w:rFonts w:ascii="Times New Roman" w:hAnsi="Times New Roman"/>
        </w:rPr>
        <w:t xml:space="preserve"> </w:t>
      </w:r>
      <w:r w:rsidRPr="005049BF">
        <w:rPr>
          <w:rFonts w:ascii="Times New Roman" w:hAnsi="Times New Roman"/>
        </w:rPr>
        <w:t>donate cash</w:t>
      </w:r>
      <w:r w:rsidR="005D42F8">
        <w:rPr>
          <w:rFonts w:ascii="Times New Roman" w:hAnsi="Times New Roman"/>
        </w:rPr>
        <w:t>, checks</w:t>
      </w:r>
      <w:r w:rsidR="005049BF">
        <w:rPr>
          <w:rFonts w:ascii="Times New Roman" w:hAnsi="Times New Roman"/>
        </w:rPr>
        <w:t>,</w:t>
      </w:r>
      <w:r w:rsidRPr="005049BF">
        <w:rPr>
          <w:rFonts w:ascii="Times New Roman" w:hAnsi="Times New Roman"/>
        </w:rPr>
        <w:t xml:space="preserve"> </w:t>
      </w:r>
      <w:r w:rsidR="005D42F8">
        <w:rPr>
          <w:rFonts w:ascii="Times New Roman" w:hAnsi="Times New Roman"/>
        </w:rPr>
        <w:t xml:space="preserve">or gift cards </w:t>
      </w:r>
      <w:r w:rsidR="0086167D" w:rsidRPr="005049BF">
        <w:rPr>
          <w:rFonts w:ascii="Times New Roman" w:hAnsi="Times New Roman"/>
        </w:rPr>
        <w:t xml:space="preserve">that will make </w:t>
      </w:r>
      <w:r w:rsidR="005D42F8">
        <w:rPr>
          <w:rFonts w:ascii="Times New Roman" w:hAnsi="Times New Roman"/>
        </w:rPr>
        <w:t>their</w:t>
      </w:r>
      <w:r w:rsidR="0086167D" w:rsidRPr="005049BF">
        <w:rPr>
          <w:rFonts w:ascii="Times New Roman" w:hAnsi="Times New Roman"/>
        </w:rPr>
        <w:t xml:space="preserve"> way </w:t>
      </w:r>
      <w:r w:rsidRPr="005049BF">
        <w:rPr>
          <w:rFonts w:ascii="Times New Roman" w:hAnsi="Times New Roman"/>
        </w:rPr>
        <w:t xml:space="preserve">to </w:t>
      </w:r>
      <w:r w:rsidR="000C1B8C">
        <w:rPr>
          <w:rFonts w:ascii="Times New Roman" w:hAnsi="Times New Roman"/>
        </w:rPr>
        <w:t>E</w:t>
      </w:r>
      <w:r w:rsidR="00A30DF4">
        <w:rPr>
          <w:rFonts w:ascii="Times New Roman" w:hAnsi="Times New Roman"/>
        </w:rPr>
        <w:t xml:space="preserve"> </w:t>
      </w:r>
      <w:r w:rsidR="00422254">
        <w:rPr>
          <w:rFonts w:ascii="Times New Roman" w:hAnsi="Times New Roman"/>
        </w:rPr>
        <w:t xml:space="preserve">to aid in this </w:t>
      </w:r>
      <w:r w:rsidR="005049BF">
        <w:rPr>
          <w:rFonts w:ascii="Times New Roman" w:hAnsi="Times New Roman"/>
        </w:rPr>
        <w:t>difficult time</w:t>
      </w:r>
      <w:r w:rsidRPr="005049BF">
        <w:rPr>
          <w:rFonts w:ascii="Times New Roman" w:hAnsi="Times New Roman"/>
        </w:rPr>
        <w:t xml:space="preserve">, provided </w:t>
      </w:r>
      <w:r w:rsidR="00783049" w:rsidRPr="005049BF">
        <w:rPr>
          <w:rFonts w:ascii="Times New Roman" w:hAnsi="Times New Roman"/>
        </w:rPr>
        <w:t>that</w:t>
      </w:r>
      <w:r w:rsidRPr="005049BF">
        <w:rPr>
          <w:rFonts w:ascii="Times New Roman" w:hAnsi="Times New Roman"/>
        </w:rPr>
        <w:t xml:space="preserve">: </w:t>
      </w:r>
    </w:p>
    <w:p w:rsidR="00A354B8" w:rsidRDefault="001763A5" w:rsidP="004D2A49">
      <w:pPr>
        <w:pStyle w:val="MediumGrid21"/>
        <w:ind w:right="-270"/>
        <w:jc w:val="both"/>
        <w:rPr>
          <w:rFonts w:ascii="Times New Roman" w:hAnsi="Times New Roman"/>
        </w:rPr>
      </w:pPr>
      <w:r w:rsidRPr="005049BF">
        <w:rPr>
          <w:rFonts w:ascii="Times New Roman" w:hAnsi="Times New Roman"/>
        </w:rPr>
        <w:t xml:space="preserve">(i) </w:t>
      </w:r>
      <w:r w:rsidR="001C5253">
        <w:rPr>
          <w:rFonts w:ascii="Times New Roman" w:hAnsi="Times New Roman"/>
        </w:rPr>
        <w:t>D</w:t>
      </w:r>
      <w:r w:rsidR="000132D2">
        <w:rPr>
          <w:rFonts w:ascii="Times New Roman" w:hAnsi="Times New Roman"/>
        </w:rPr>
        <w:t>onations</w:t>
      </w:r>
      <w:r w:rsidRPr="005049BF">
        <w:rPr>
          <w:rFonts w:ascii="Times New Roman" w:hAnsi="Times New Roman"/>
        </w:rPr>
        <w:t xml:space="preserve"> </w:t>
      </w:r>
      <w:r w:rsidR="00422254">
        <w:rPr>
          <w:rFonts w:ascii="Times New Roman" w:hAnsi="Times New Roman"/>
        </w:rPr>
        <w:t>do not exceed $</w:t>
      </w:r>
      <w:r w:rsidRPr="005049BF">
        <w:rPr>
          <w:rFonts w:ascii="Times New Roman" w:hAnsi="Times New Roman"/>
        </w:rPr>
        <w:t>50</w:t>
      </w:r>
      <w:r w:rsidR="005049BF">
        <w:rPr>
          <w:rFonts w:ascii="Times New Roman" w:hAnsi="Times New Roman"/>
        </w:rPr>
        <w:t xml:space="preserve"> from any person (</w:t>
      </w:r>
      <w:r w:rsidRPr="005049BF">
        <w:rPr>
          <w:rFonts w:ascii="Times New Roman" w:hAnsi="Times New Roman"/>
        </w:rPr>
        <w:t xml:space="preserve">except those made by relatives and personal friends of </w:t>
      </w:r>
      <w:r w:rsidR="000C1B8C">
        <w:rPr>
          <w:rFonts w:ascii="Times New Roman" w:hAnsi="Times New Roman"/>
        </w:rPr>
        <w:t xml:space="preserve">E </w:t>
      </w:r>
      <w:r w:rsidRPr="005049BF">
        <w:rPr>
          <w:rFonts w:ascii="Times New Roman" w:hAnsi="Times New Roman"/>
        </w:rPr>
        <w:t xml:space="preserve">or </w:t>
      </w:r>
      <w:r w:rsidR="0011223B" w:rsidRPr="005049BF">
        <w:rPr>
          <w:rFonts w:ascii="Times New Roman" w:hAnsi="Times New Roman"/>
        </w:rPr>
        <w:t xml:space="preserve">of </w:t>
      </w:r>
      <w:r w:rsidR="00A30DF4">
        <w:rPr>
          <w:rFonts w:ascii="Times New Roman" w:hAnsi="Times New Roman"/>
        </w:rPr>
        <w:t>E’s</w:t>
      </w:r>
      <w:r w:rsidRPr="005049BF">
        <w:rPr>
          <w:rFonts w:ascii="Times New Roman" w:hAnsi="Times New Roman"/>
        </w:rPr>
        <w:t xml:space="preserve"> late </w:t>
      </w:r>
      <w:r w:rsidR="000C1B8C">
        <w:rPr>
          <w:rFonts w:ascii="Times New Roman" w:hAnsi="Times New Roman"/>
        </w:rPr>
        <w:t>[</w:t>
      </w:r>
      <w:r w:rsidR="00A30DF4">
        <w:rPr>
          <w:rFonts w:ascii="Times New Roman" w:hAnsi="Times New Roman"/>
        </w:rPr>
        <w:t>covered relative</w:t>
      </w:r>
      <w:r w:rsidR="000C1B8C">
        <w:rPr>
          <w:rFonts w:ascii="Times New Roman" w:hAnsi="Times New Roman"/>
        </w:rPr>
        <w:t xml:space="preserve">]    </w:t>
      </w:r>
      <w:r w:rsidR="00D170D5" w:rsidRPr="005049BF">
        <w:rPr>
          <w:rFonts w:ascii="Times New Roman" w:hAnsi="Times New Roman"/>
        </w:rPr>
        <w:t>,</w:t>
      </w:r>
      <w:r w:rsidR="00783049" w:rsidRPr="005049BF">
        <w:rPr>
          <w:rFonts w:ascii="Times New Roman" w:hAnsi="Times New Roman"/>
        </w:rPr>
        <w:t xml:space="preserve"> </w:t>
      </w:r>
      <w:r w:rsidR="00422254">
        <w:rPr>
          <w:rFonts w:ascii="Times New Roman" w:hAnsi="Times New Roman"/>
        </w:rPr>
        <w:t xml:space="preserve">or by you or </w:t>
      </w:r>
      <w:r w:rsidR="000C1B8C">
        <w:rPr>
          <w:rFonts w:ascii="Times New Roman" w:hAnsi="Times New Roman"/>
        </w:rPr>
        <w:t>E</w:t>
      </w:r>
      <w:r w:rsidR="00422254">
        <w:rPr>
          <w:rFonts w:ascii="Times New Roman" w:hAnsi="Times New Roman"/>
        </w:rPr>
        <w:t xml:space="preserve">’s co-workers, </w:t>
      </w:r>
      <w:r w:rsidR="00783049" w:rsidRPr="005049BF">
        <w:rPr>
          <w:rFonts w:ascii="Times New Roman" w:hAnsi="Times New Roman"/>
        </w:rPr>
        <w:t>which are not limited</w:t>
      </w:r>
      <w:r w:rsidR="005049BF">
        <w:rPr>
          <w:rFonts w:ascii="Times New Roman" w:hAnsi="Times New Roman"/>
        </w:rPr>
        <w:t>)</w:t>
      </w:r>
      <w:r w:rsidRPr="005049BF">
        <w:rPr>
          <w:rFonts w:ascii="Times New Roman" w:hAnsi="Times New Roman"/>
        </w:rPr>
        <w:t xml:space="preserve">; </w:t>
      </w:r>
    </w:p>
    <w:p w:rsidR="00A354B8" w:rsidRDefault="00A354B8" w:rsidP="004D2A49">
      <w:pPr>
        <w:pStyle w:val="MediumGrid21"/>
        <w:ind w:right="-270"/>
        <w:jc w:val="both"/>
        <w:rPr>
          <w:rFonts w:ascii="Times New Roman" w:hAnsi="Times New Roman"/>
        </w:rPr>
      </w:pPr>
    </w:p>
    <w:p w:rsidR="00A354B8" w:rsidRDefault="001763A5" w:rsidP="004D2A49">
      <w:pPr>
        <w:pStyle w:val="MediumGrid21"/>
        <w:ind w:right="-270"/>
        <w:jc w:val="both"/>
        <w:rPr>
          <w:rFonts w:ascii="Times New Roman" w:hAnsi="Times New Roman"/>
        </w:rPr>
      </w:pPr>
      <w:r w:rsidRPr="005049BF">
        <w:rPr>
          <w:rFonts w:ascii="Times New Roman" w:hAnsi="Times New Roman"/>
        </w:rPr>
        <w:t>(i</w:t>
      </w:r>
      <w:r w:rsidR="0086167D" w:rsidRPr="005049BF">
        <w:rPr>
          <w:rFonts w:ascii="Times New Roman" w:hAnsi="Times New Roman"/>
        </w:rPr>
        <w:t>i</w:t>
      </w:r>
      <w:r w:rsidRPr="005049BF">
        <w:rPr>
          <w:rFonts w:ascii="Times New Roman" w:hAnsi="Times New Roman"/>
        </w:rPr>
        <w:t xml:space="preserve">) </w:t>
      </w:r>
      <w:r w:rsidR="001C5253">
        <w:rPr>
          <w:rFonts w:ascii="Times New Roman" w:hAnsi="Times New Roman"/>
        </w:rPr>
        <w:t>A</w:t>
      </w:r>
      <w:r w:rsidR="0011223B" w:rsidRPr="005049BF">
        <w:rPr>
          <w:rFonts w:ascii="Times New Roman" w:hAnsi="Times New Roman"/>
        </w:rPr>
        <w:t xml:space="preserve"> careful listing of all donors and their donations is kept (the GoFundMe campaign will do this automatically, but the list should be kept with respect to donations made by neighbors through the Association)</w:t>
      </w:r>
      <w:r w:rsidR="00193B67">
        <w:rPr>
          <w:rFonts w:ascii="Times New Roman" w:hAnsi="Times New Roman"/>
        </w:rPr>
        <w:t>, so as to minimize the possibility of anonymous gifts, though anonymous gifts that do not exceed $50 made through these funding sources would not be prohibited</w:t>
      </w:r>
      <w:r w:rsidR="000437B1" w:rsidRPr="005049BF">
        <w:rPr>
          <w:rStyle w:val="FootnoteReference"/>
          <w:rFonts w:ascii="Times New Roman" w:hAnsi="Times New Roman"/>
        </w:rPr>
        <w:footnoteReference w:id="3"/>
      </w:r>
      <w:r w:rsidR="0011223B" w:rsidRPr="005049BF">
        <w:rPr>
          <w:rFonts w:ascii="Times New Roman" w:hAnsi="Times New Roman"/>
        </w:rPr>
        <w:t xml:space="preserve">; </w:t>
      </w:r>
    </w:p>
    <w:p w:rsidR="00A354B8" w:rsidRDefault="00A354B8" w:rsidP="004D2A49">
      <w:pPr>
        <w:pStyle w:val="MediumGrid21"/>
        <w:ind w:right="-270"/>
        <w:jc w:val="both"/>
        <w:rPr>
          <w:rFonts w:ascii="Times New Roman" w:hAnsi="Times New Roman"/>
        </w:rPr>
      </w:pPr>
    </w:p>
    <w:p w:rsidR="001C5253" w:rsidRDefault="0011223B" w:rsidP="004D2A49">
      <w:pPr>
        <w:pStyle w:val="MediumGrid21"/>
        <w:ind w:right="-270"/>
        <w:jc w:val="both"/>
        <w:rPr>
          <w:rFonts w:ascii="Times New Roman" w:hAnsi="Times New Roman"/>
        </w:rPr>
      </w:pPr>
      <w:r w:rsidRPr="005049BF">
        <w:rPr>
          <w:rFonts w:ascii="Times New Roman" w:hAnsi="Times New Roman"/>
        </w:rPr>
        <w:t>(i</w:t>
      </w:r>
      <w:r w:rsidR="00422254">
        <w:rPr>
          <w:rFonts w:ascii="Times New Roman" w:hAnsi="Times New Roman"/>
        </w:rPr>
        <w:t>ii</w:t>
      </w:r>
      <w:r w:rsidRPr="005049BF">
        <w:rPr>
          <w:rFonts w:ascii="Times New Roman" w:hAnsi="Times New Roman"/>
        </w:rPr>
        <w:t xml:space="preserve">) </w:t>
      </w:r>
      <w:r w:rsidR="001C5253">
        <w:rPr>
          <w:rFonts w:ascii="Times New Roman" w:hAnsi="Times New Roman"/>
        </w:rPr>
        <w:t>N</w:t>
      </w:r>
      <w:r w:rsidRPr="005049BF">
        <w:rPr>
          <w:rFonts w:ascii="Times New Roman" w:hAnsi="Times New Roman"/>
        </w:rPr>
        <w:t>o donation is made or accepted based on an explicit or implicit mutual understanding that</w:t>
      </w:r>
      <w:r w:rsidR="00422254" w:rsidRPr="00422254">
        <w:rPr>
          <w:rFonts w:ascii="Times New Roman" w:hAnsi="Times New Roman"/>
        </w:rPr>
        <w:t xml:space="preserve"> </w:t>
      </w:r>
      <w:r w:rsidR="00422254">
        <w:rPr>
          <w:rFonts w:ascii="Times New Roman" w:hAnsi="Times New Roman"/>
        </w:rPr>
        <w:t xml:space="preserve">any </w:t>
      </w:r>
      <w:r w:rsidR="00422254" w:rsidRPr="00ED27E7">
        <w:rPr>
          <w:rFonts w:ascii="Times New Roman" w:hAnsi="Times New Roman"/>
        </w:rPr>
        <w:t xml:space="preserve">votes, decisions or actions concerning City business </w:t>
      </w:r>
      <w:r w:rsidR="00422254">
        <w:rPr>
          <w:rFonts w:ascii="Times New Roman" w:hAnsi="Times New Roman"/>
        </w:rPr>
        <w:t xml:space="preserve">made by you, </w:t>
      </w:r>
      <w:r w:rsidR="000C1B8C">
        <w:rPr>
          <w:rFonts w:ascii="Times New Roman" w:hAnsi="Times New Roman"/>
        </w:rPr>
        <w:t xml:space="preserve">E            </w:t>
      </w:r>
      <w:r w:rsidR="00422254">
        <w:rPr>
          <w:rFonts w:ascii="Times New Roman" w:hAnsi="Times New Roman"/>
        </w:rPr>
        <w:t xml:space="preserve">, </w:t>
      </w:r>
      <w:r w:rsidRPr="005049BF">
        <w:rPr>
          <w:rFonts w:ascii="Times New Roman" w:hAnsi="Times New Roman"/>
        </w:rPr>
        <w:t>or any other employee of your office</w:t>
      </w:r>
      <w:r w:rsidR="00422254">
        <w:rPr>
          <w:rFonts w:ascii="Times New Roman" w:hAnsi="Times New Roman"/>
        </w:rPr>
        <w:t>,</w:t>
      </w:r>
      <w:r w:rsidRPr="005049BF">
        <w:rPr>
          <w:rFonts w:ascii="Times New Roman" w:hAnsi="Times New Roman"/>
        </w:rPr>
        <w:t xml:space="preserve"> would be affected thereby</w:t>
      </w:r>
      <w:r w:rsidR="001C5253">
        <w:rPr>
          <w:rFonts w:ascii="Times New Roman" w:hAnsi="Times New Roman"/>
        </w:rPr>
        <w:t xml:space="preserve">; and </w:t>
      </w:r>
    </w:p>
    <w:p w:rsidR="001C5253" w:rsidRDefault="001C5253" w:rsidP="004D2A49">
      <w:pPr>
        <w:pStyle w:val="MediumGrid21"/>
        <w:ind w:right="-270"/>
        <w:jc w:val="both"/>
        <w:rPr>
          <w:rFonts w:ascii="Times New Roman" w:hAnsi="Times New Roman"/>
        </w:rPr>
      </w:pPr>
    </w:p>
    <w:p w:rsidR="00A354B8" w:rsidRDefault="001C5253" w:rsidP="004D2A49">
      <w:pPr>
        <w:pStyle w:val="MediumGrid21"/>
        <w:ind w:right="-270"/>
        <w:jc w:val="both"/>
        <w:rPr>
          <w:rFonts w:ascii="Times New Roman" w:hAnsi="Times New Roman"/>
        </w:rPr>
      </w:pPr>
      <w:r>
        <w:rPr>
          <w:rFonts w:ascii="Times New Roman" w:hAnsi="Times New Roman"/>
        </w:rPr>
        <w:t>(iv)</w:t>
      </w:r>
      <w:r w:rsidRPr="005B2AC4">
        <w:rPr>
          <w:rFonts w:ascii="Times New Roman" w:hAnsi="Times New Roman"/>
        </w:rPr>
        <w:t xml:space="preserve"> </w:t>
      </w:r>
      <w:r w:rsidR="000C1B8C">
        <w:rPr>
          <w:rFonts w:ascii="Times New Roman" w:hAnsi="Times New Roman"/>
        </w:rPr>
        <w:t xml:space="preserve">E             </w:t>
      </w:r>
      <w:r w:rsidRPr="005B2AC4">
        <w:rPr>
          <w:rFonts w:ascii="Times New Roman" w:hAnsi="Times New Roman"/>
        </w:rPr>
        <w:t xml:space="preserve">discloses the name of any donor from whom </w:t>
      </w:r>
      <w:proofErr w:type="spellStart"/>
      <w:r w:rsidR="000C1B8C">
        <w:rPr>
          <w:rFonts w:ascii="Times New Roman" w:hAnsi="Times New Roman"/>
        </w:rPr>
        <w:t>E</w:t>
      </w:r>
      <w:proofErr w:type="spellEnd"/>
      <w:r w:rsidRPr="005B2AC4">
        <w:rPr>
          <w:rFonts w:ascii="Times New Roman" w:hAnsi="Times New Roman"/>
        </w:rPr>
        <w:t xml:space="preserve"> receives any combination of gifts that total in excess of $250 in calend</w:t>
      </w:r>
      <w:r w:rsidR="00755C04">
        <w:rPr>
          <w:rFonts w:ascii="Times New Roman" w:hAnsi="Times New Roman"/>
        </w:rPr>
        <w:t xml:space="preserve">ar </w:t>
      </w:r>
      <w:r w:rsidR="00E046A4">
        <w:rPr>
          <w:rFonts w:ascii="Times New Roman" w:hAnsi="Times New Roman"/>
        </w:rPr>
        <w:t xml:space="preserve">year </w:t>
      </w:r>
      <w:r w:rsidR="00755C04">
        <w:rPr>
          <w:rFonts w:ascii="Times New Roman" w:hAnsi="Times New Roman"/>
        </w:rPr>
        <w:t>2017 (except from relatives)</w:t>
      </w:r>
      <w:r w:rsidR="00755C04" w:rsidRPr="00755C04">
        <w:rPr>
          <w:rFonts w:ascii="Times New Roman" w:hAnsi="Times New Roman"/>
        </w:rPr>
        <w:t xml:space="preserve"> </w:t>
      </w:r>
      <w:r w:rsidR="00755C04">
        <w:rPr>
          <w:rFonts w:ascii="Times New Roman" w:hAnsi="Times New Roman"/>
        </w:rPr>
        <w:t>o</w:t>
      </w:r>
      <w:r w:rsidR="00755C04" w:rsidRPr="005B2AC4">
        <w:rPr>
          <w:rFonts w:ascii="Times New Roman" w:hAnsi="Times New Roman"/>
        </w:rPr>
        <w:t xml:space="preserve">n </w:t>
      </w:r>
      <w:r w:rsidR="000C1B8C">
        <w:rPr>
          <w:rFonts w:ascii="Times New Roman" w:hAnsi="Times New Roman"/>
        </w:rPr>
        <w:t>E’s</w:t>
      </w:r>
      <w:r w:rsidR="00755C04" w:rsidRPr="005B2AC4">
        <w:rPr>
          <w:rFonts w:ascii="Times New Roman" w:hAnsi="Times New Roman"/>
        </w:rPr>
        <w:t xml:space="preserve"> 2018 Statement of Financial Interests</w:t>
      </w:r>
      <w:r w:rsidR="00755C04">
        <w:rPr>
          <w:rFonts w:ascii="Times New Roman" w:hAnsi="Times New Roman"/>
        </w:rPr>
        <w:t>.</w:t>
      </w:r>
    </w:p>
    <w:p w:rsidR="00A354B8" w:rsidRDefault="00A354B8" w:rsidP="004D2A49">
      <w:pPr>
        <w:pStyle w:val="MediumGrid21"/>
        <w:ind w:right="-270"/>
        <w:jc w:val="both"/>
        <w:rPr>
          <w:rFonts w:ascii="Times New Roman" w:hAnsi="Times New Roman"/>
        </w:rPr>
      </w:pPr>
    </w:p>
    <w:p w:rsidR="006425D4" w:rsidRPr="005049BF" w:rsidRDefault="00A354B8" w:rsidP="004D2A49">
      <w:pPr>
        <w:pStyle w:val="MediumGrid21"/>
        <w:ind w:right="-270"/>
        <w:jc w:val="both"/>
        <w:rPr>
          <w:rFonts w:ascii="Times New Roman" w:hAnsi="Times New Roman"/>
        </w:rPr>
      </w:pPr>
      <w:r>
        <w:rPr>
          <w:rFonts w:ascii="Times New Roman" w:hAnsi="Times New Roman"/>
        </w:rPr>
        <w:t>Our analysis follows.</w:t>
      </w:r>
    </w:p>
    <w:p w:rsidR="00783049" w:rsidRPr="005049BF" w:rsidRDefault="00783049" w:rsidP="004D2A49">
      <w:pPr>
        <w:pStyle w:val="MediumGrid21"/>
        <w:ind w:right="-270"/>
        <w:jc w:val="both"/>
        <w:rPr>
          <w:rFonts w:ascii="Times New Roman" w:hAnsi="Times New Roman"/>
        </w:rPr>
      </w:pPr>
    </w:p>
    <w:p w:rsidR="00422254" w:rsidRDefault="005049BF" w:rsidP="004D2A49">
      <w:pPr>
        <w:pStyle w:val="MediumGrid21"/>
        <w:ind w:right="-270"/>
        <w:jc w:val="both"/>
        <w:rPr>
          <w:rFonts w:ascii="Times New Roman" w:hAnsi="Times New Roman"/>
        </w:rPr>
      </w:pPr>
      <w:r>
        <w:rPr>
          <w:rFonts w:ascii="Times New Roman" w:hAnsi="Times New Roman"/>
          <w:b/>
          <w:u w:val="single"/>
        </w:rPr>
        <w:t>Analysis</w:t>
      </w:r>
      <w:r w:rsidR="00783049" w:rsidRPr="005049BF">
        <w:rPr>
          <w:rFonts w:ascii="Times New Roman" w:hAnsi="Times New Roman"/>
          <w:b/>
        </w:rPr>
        <w:t>.</w:t>
      </w:r>
      <w:r w:rsidR="00783049" w:rsidRPr="005049BF">
        <w:rPr>
          <w:rFonts w:ascii="Times New Roman" w:hAnsi="Times New Roman"/>
        </w:rPr>
        <w:t xml:space="preserve"> </w:t>
      </w:r>
      <w:r w:rsidR="00FA7FA5">
        <w:rPr>
          <w:rFonts w:ascii="Times New Roman" w:hAnsi="Times New Roman"/>
        </w:rPr>
        <w:t>Y</w:t>
      </w:r>
      <w:r w:rsidR="001F465B" w:rsidRPr="005049BF">
        <w:rPr>
          <w:rFonts w:ascii="Times New Roman" w:hAnsi="Times New Roman"/>
        </w:rPr>
        <w:t xml:space="preserve">our question </w:t>
      </w:r>
      <w:r w:rsidR="00FA7FA5">
        <w:rPr>
          <w:rFonts w:ascii="Times New Roman" w:hAnsi="Times New Roman"/>
        </w:rPr>
        <w:t>revolves around the permissibility</w:t>
      </w:r>
      <w:r w:rsidR="001F465B" w:rsidRPr="005049BF">
        <w:rPr>
          <w:rFonts w:ascii="Times New Roman" w:hAnsi="Times New Roman"/>
        </w:rPr>
        <w:t xml:space="preserve"> </w:t>
      </w:r>
      <w:r w:rsidR="00AC4E69">
        <w:rPr>
          <w:rFonts w:ascii="Times New Roman" w:hAnsi="Times New Roman"/>
        </w:rPr>
        <w:t>of</w:t>
      </w:r>
      <w:r w:rsidR="00C22CE5">
        <w:rPr>
          <w:rFonts w:ascii="Times New Roman" w:hAnsi="Times New Roman"/>
        </w:rPr>
        <w:t xml:space="preserve"> utilizing</w:t>
      </w:r>
      <w:r w:rsidR="00AC4E69">
        <w:rPr>
          <w:rFonts w:ascii="Times New Roman" w:hAnsi="Times New Roman"/>
        </w:rPr>
        <w:t xml:space="preserve"> these </w:t>
      </w:r>
      <w:r w:rsidR="001F465B" w:rsidRPr="005049BF">
        <w:rPr>
          <w:rFonts w:ascii="Times New Roman" w:hAnsi="Times New Roman"/>
        </w:rPr>
        <w:t xml:space="preserve">fundraising </w:t>
      </w:r>
      <w:r w:rsidR="00AC4E69">
        <w:rPr>
          <w:rFonts w:ascii="Times New Roman" w:hAnsi="Times New Roman"/>
        </w:rPr>
        <w:t xml:space="preserve">techniques </w:t>
      </w:r>
      <w:r w:rsidR="001F465B" w:rsidRPr="005049BF">
        <w:rPr>
          <w:rFonts w:ascii="Times New Roman" w:hAnsi="Times New Roman"/>
        </w:rPr>
        <w:t xml:space="preserve">to </w:t>
      </w:r>
      <w:r w:rsidR="00AC4E69">
        <w:rPr>
          <w:rFonts w:ascii="Times New Roman" w:hAnsi="Times New Roman"/>
        </w:rPr>
        <w:t>raise</w:t>
      </w:r>
      <w:r w:rsidR="00AC4E69" w:rsidRPr="005049BF">
        <w:rPr>
          <w:rFonts w:ascii="Times New Roman" w:hAnsi="Times New Roman"/>
        </w:rPr>
        <w:t xml:space="preserve"> </w:t>
      </w:r>
      <w:r w:rsidR="00F94245">
        <w:rPr>
          <w:rFonts w:ascii="Times New Roman" w:hAnsi="Times New Roman"/>
        </w:rPr>
        <w:t>money</w:t>
      </w:r>
      <w:r w:rsidR="00C22CE5">
        <w:rPr>
          <w:rFonts w:ascii="Times New Roman" w:hAnsi="Times New Roman"/>
        </w:rPr>
        <w:t>,</w:t>
      </w:r>
      <w:r w:rsidR="00F94245">
        <w:rPr>
          <w:rFonts w:ascii="Times New Roman" w:hAnsi="Times New Roman"/>
        </w:rPr>
        <w:t xml:space="preserve"> gift</w:t>
      </w:r>
      <w:r w:rsidR="00C96E9D" w:rsidRPr="005049BF">
        <w:rPr>
          <w:rFonts w:ascii="Times New Roman" w:hAnsi="Times New Roman"/>
        </w:rPr>
        <w:t xml:space="preserve"> cards, or in-kind gifts</w:t>
      </w:r>
      <w:r w:rsidR="00F94245">
        <w:rPr>
          <w:rFonts w:ascii="Times New Roman" w:hAnsi="Times New Roman"/>
        </w:rPr>
        <w:t>,</w:t>
      </w:r>
      <w:r w:rsidR="00C96E9D" w:rsidRPr="005049BF">
        <w:rPr>
          <w:rFonts w:ascii="Times New Roman" w:hAnsi="Times New Roman"/>
        </w:rPr>
        <w:t xml:space="preserve"> </w:t>
      </w:r>
      <w:r w:rsidR="001F465B" w:rsidRPr="005049BF">
        <w:rPr>
          <w:rFonts w:ascii="Times New Roman" w:hAnsi="Times New Roman"/>
        </w:rPr>
        <w:t xml:space="preserve">to be given to </w:t>
      </w:r>
      <w:r w:rsidR="000C1B8C">
        <w:rPr>
          <w:rFonts w:ascii="Times New Roman" w:hAnsi="Times New Roman"/>
        </w:rPr>
        <w:t xml:space="preserve">E            </w:t>
      </w:r>
      <w:r w:rsidR="001F465B" w:rsidRPr="005049BF">
        <w:rPr>
          <w:rFonts w:ascii="Times New Roman" w:hAnsi="Times New Roman"/>
        </w:rPr>
        <w:t xml:space="preserve"> as gift</w:t>
      </w:r>
      <w:r w:rsidR="00C96E9D" w:rsidRPr="005049BF">
        <w:rPr>
          <w:rFonts w:ascii="Times New Roman" w:hAnsi="Times New Roman"/>
        </w:rPr>
        <w:t>s</w:t>
      </w:r>
      <w:r w:rsidR="001F465B" w:rsidRPr="005049BF">
        <w:rPr>
          <w:rFonts w:ascii="Times New Roman" w:hAnsi="Times New Roman"/>
        </w:rPr>
        <w:t xml:space="preserve"> during this life crisis. </w:t>
      </w:r>
    </w:p>
    <w:p w:rsidR="00422254" w:rsidRDefault="00422254" w:rsidP="004D2A49">
      <w:pPr>
        <w:pStyle w:val="MediumGrid21"/>
        <w:ind w:right="-270"/>
        <w:jc w:val="both"/>
        <w:rPr>
          <w:rFonts w:ascii="Times New Roman" w:hAnsi="Times New Roman"/>
        </w:rPr>
      </w:pPr>
    </w:p>
    <w:p w:rsidR="00C96E9D" w:rsidRPr="005049BF" w:rsidRDefault="008D41C7" w:rsidP="004D2A49">
      <w:pPr>
        <w:pStyle w:val="MediumGrid21"/>
        <w:ind w:right="-270"/>
        <w:jc w:val="both"/>
        <w:rPr>
          <w:rFonts w:ascii="Times New Roman" w:hAnsi="Times New Roman"/>
        </w:rPr>
      </w:pPr>
      <w:r>
        <w:rPr>
          <w:rFonts w:ascii="Times New Roman" w:hAnsi="Times New Roman"/>
        </w:rPr>
        <w:t>O</w:t>
      </w:r>
      <w:r w:rsidRPr="00AA2B30">
        <w:rPr>
          <w:rFonts w:ascii="Times New Roman" w:hAnsi="Times New Roman"/>
        </w:rPr>
        <w:t xml:space="preserve">n its face, </w:t>
      </w:r>
      <w:r>
        <w:rPr>
          <w:rFonts w:ascii="Times New Roman" w:hAnsi="Times New Roman"/>
        </w:rPr>
        <w:t>t</w:t>
      </w:r>
      <w:r w:rsidR="001F465B" w:rsidRPr="005049BF">
        <w:rPr>
          <w:rFonts w:ascii="Times New Roman" w:hAnsi="Times New Roman"/>
        </w:rPr>
        <w:t xml:space="preserve">he </w:t>
      </w:r>
      <w:r w:rsidR="00C96E9D" w:rsidRPr="005049BF">
        <w:rPr>
          <w:rFonts w:ascii="Times New Roman" w:hAnsi="Times New Roman"/>
        </w:rPr>
        <w:t xml:space="preserve">Ordinance does not allow persons to give cash, checks, or gift cards to </w:t>
      </w:r>
      <w:r w:rsidR="000C1B8C">
        <w:rPr>
          <w:rFonts w:ascii="Times New Roman" w:hAnsi="Times New Roman"/>
        </w:rPr>
        <w:t xml:space="preserve">E            </w:t>
      </w:r>
      <w:r w:rsidR="00F94245">
        <w:rPr>
          <w:rFonts w:ascii="Times New Roman" w:hAnsi="Times New Roman"/>
        </w:rPr>
        <w:t xml:space="preserve"> in any amount, or in-kind gifts worth in excess of $50 per calendar year</w:t>
      </w:r>
      <w:r w:rsidR="00C96E9D" w:rsidRPr="005049BF">
        <w:rPr>
          <w:rFonts w:ascii="Times New Roman" w:hAnsi="Times New Roman"/>
        </w:rPr>
        <w:t xml:space="preserve">, </w:t>
      </w:r>
      <w:r w:rsidR="00844DAF" w:rsidRPr="005049BF">
        <w:rPr>
          <w:rFonts w:ascii="Times New Roman" w:hAnsi="Times New Roman"/>
        </w:rPr>
        <w:t xml:space="preserve">unless </w:t>
      </w:r>
      <w:r w:rsidR="00C96E9D" w:rsidRPr="005049BF">
        <w:rPr>
          <w:rFonts w:ascii="Times New Roman" w:hAnsi="Times New Roman"/>
        </w:rPr>
        <w:t xml:space="preserve">a specific </w:t>
      </w:r>
      <w:r w:rsidR="00844DAF" w:rsidRPr="005049BF">
        <w:rPr>
          <w:rFonts w:ascii="Times New Roman" w:hAnsi="Times New Roman"/>
        </w:rPr>
        <w:t>exception in the law</w:t>
      </w:r>
      <w:r w:rsidR="00422254" w:rsidRPr="003672DD">
        <w:rPr>
          <w:rFonts w:ascii="Times New Roman" w:hAnsi="Times New Roman"/>
        </w:rPr>
        <w:t xml:space="preserve"> applies. </w:t>
      </w:r>
      <w:r w:rsidR="00A70AF1" w:rsidRPr="005049BF">
        <w:rPr>
          <w:rFonts w:ascii="Times New Roman" w:hAnsi="Times New Roman"/>
          <w:i/>
        </w:rPr>
        <w:t>See</w:t>
      </w:r>
      <w:r w:rsidR="00A70AF1" w:rsidRPr="005049BF">
        <w:rPr>
          <w:rFonts w:ascii="Times New Roman" w:hAnsi="Times New Roman"/>
        </w:rPr>
        <w:t xml:space="preserve"> </w:t>
      </w:r>
      <w:r w:rsidR="000422A0" w:rsidRPr="005049BF">
        <w:rPr>
          <w:rFonts w:ascii="Times New Roman" w:hAnsi="Times New Roman"/>
        </w:rPr>
        <w:t>§§ 2-156-142(a); -142(d)</w:t>
      </w:r>
      <w:r w:rsidR="00BC1786">
        <w:rPr>
          <w:rFonts w:ascii="Times New Roman" w:hAnsi="Times New Roman"/>
        </w:rPr>
        <w:t>, cited in footnote 2</w:t>
      </w:r>
      <w:r w:rsidR="000422A0" w:rsidRPr="005049BF">
        <w:rPr>
          <w:rFonts w:ascii="Times New Roman" w:hAnsi="Times New Roman"/>
        </w:rPr>
        <w:t xml:space="preserve">. </w:t>
      </w:r>
      <w:r w:rsidR="00C96E9D" w:rsidRPr="005049BF">
        <w:rPr>
          <w:rFonts w:ascii="Times New Roman" w:hAnsi="Times New Roman"/>
        </w:rPr>
        <w:t xml:space="preserve">The only exceptions </w:t>
      </w:r>
      <w:r w:rsidR="00F94245">
        <w:rPr>
          <w:rFonts w:ascii="Times New Roman" w:hAnsi="Times New Roman"/>
        </w:rPr>
        <w:t xml:space="preserve">written into the law </w:t>
      </w:r>
      <w:r w:rsidR="00C96E9D" w:rsidRPr="005049BF">
        <w:rPr>
          <w:rFonts w:ascii="Times New Roman" w:hAnsi="Times New Roman"/>
        </w:rPr>
        <w:t xml:space="preserve">are that </w:t>
      </w:r>
      <w:r w:rsidR="000C1B8C">
        <w:rPr>
          <w:rFonts w:ascii="Times New Roman" w:hAnsi="Times New Roman"/>
        </w:rPr>
        <w:t xml:space="preserve">E            </w:t>
      </w:r>
      <w:r w:rsidR="00C96E9D" w:rsidRPr="005049BF">
        <w:rPr>
          <w:rFonts w:ascii="Times New Roman" w:hAnsi="Times New Roman"/>
        </w:rPr>
        <w:t xml:space="preserve"> could receive unlimited cash gifts from you</w:t>
      </w:r>
      <w:r w:rsidR="00D54E49">
        <w:rPr>
          <w:rFonts w:ascii="Times New Roman" w:hAnsi="Times New Roman"/>
        </w:rPr>
        <w:t>,</w:t>
      </w:r>
      <w:r w:rsidR="00C96E9D" w:rsidRPr="005049BF">
        <w:rPr>
          <w:rFonts w:ascii="Times New Roman" w:hAnsi="Times New Roman"/>
        </w:rPr>
        <w:t xml:space="preserve"> or </w:t>
      </w:r>
      <w:r w:rsidR="000C1B8C">
        <w:rPr>
          <w:rFonts w:ascii="Times New Roman" w:hAnsi="Times New Roman"/>
        </w:rPr>
        <w:t xml:space="preserve">   </w:t>
      </w:r>
      <w:r w:rsidR="00C96E9D" w:rsidRPr="005049BF">
        <w:rPr>
          <w:rFonts w:ascii="Times New Roman" w:hAnsi="Times New Roman"/>
        </w:rPr>
        <w:t xml:space="preserve"> fellow employees, or </w:t>
      </w:r>
      <w:r w:rsidR="000C1B8C">
        <w:rPr>
          <w:rFonts w:ascii="Times New Roman" w:hAnsi="Times New Roman"/>
        </w:rPr>
        <w:t>E’s</w:t>
      </w:r>
      <w:r w:rsidR="00C96E9D" w:rsidRPr="005049BF">
        <w:rPr>
          <w:rFonts w:ascii="Times New Roman" w:hAnsi="Times New Roman"/>
        </w:rPr>
        <w:t xml:space="preserve"> or </w:t>
      </w:r>
      <w:r w:rsidR="000C1B8C">
        <w:rPr>
          <w:rFonts w:ascii="Times New Roman" w:hAnsi="Times New Roman"/>
        </w:rPr>
        <w:t>E’s</w:t>
      </w:r>
      <w:r w:rsidR="00C96E9D" w:rsidRPr="005049BF">
        <w:rPr>
          <w:rFonts w:ascii="Times New Roman" w:hAnsi="Times New Roman"/>
        </w:rPr>
        <w:t xml:space="preserve"> late </w:t>
      </w:r>
      <w:r w:rsidR="000C1B8C">
        <w:rPr>
          <w:rFonts w:ascii="Times New Roman" w:hAnsi="Times New Roman"/>
        </w:rPr>
        <w:t>[family member’s] persona</w:t>
      </w:r>
      <w:r w:rsidR="00C96E9D" w:rsidRPr="005049BF">
        <w:rPr>
          <w:rFonts w:ascii="Times New Roman" w:hAnsi="Times New Roman"/>
        </w:rPr>
        <w:t>l friends or family.</w:t>
      </w:r>
      <w:r w:rsidR="001F465B" w:rsidRPr="005049BF">
        <w:rPr>
          <w:rFonts w:ascii="Times New Roman" w:hAnsi="Times New Roman"/>
        </w:rPr>
        <w:t xml:space="preserve"> </w:t>
      </w:r>
      <w:r w:rsidR="001727D3" w:rsidRPr="005049BF">
        <w:rPr>
          <w:rFonts w:ascii="Times New Roman" w:hAnsi="Times New Roman"/>
        </w:rPr>
        <w:t>Hence, these campaigns</w:t>
      </w:r>
      <w:r w:rsidR="00D239F2" w:rsidRPr="005049BF">
        <w:rPr>
          <w:rFonts w:ascii="Times New Roman" w:hAnsi="Times New Roman"/>
        </w:rPr>
        <w:t xml:space="preserve"> — </w:t>
      </w:r>
      <w:r w:rsidR="001727D3" w:rsidRPr="005049BF">
        <w:rPr>
          <w:rFonts w:ascii="Times New Roman" w:hAnsi="Times New Roman"/>
        </w:rPr>
        <w:t>which exemplify a community</w:t>
      </w:r>
      <w:r w:rsidR="00EB0922">
        <w:rPr>
          <w:rFonts w:ascii="Times New Roman" w:hAnsi="Times New Roman"/>
        </w:rPr>
        <w:t>-</w:t>
      </w:r>
      <w:r w:rsidR="001727D3" w:rsidRPr="005049BF">
        <w:rPr>
          <w:rFonts w:ascii="Times New Roman" w:hAnsi="Times New Roman"/>
        </w:rPr>
        <w:t xml:space="preserve"> and </w:t>
      </w:r>
      <w:r w:rsidR="000422A0" w:rsidRPr="005049BF">
        <w:rPr>
          <w:rFonts w:ascii="Times New Roman" w:hAnsi="Times New Roman"/>
        </w:rPr>
        <w:t>humanitarian</w:t>
      </w:r>
      <w:r w:rsidR="00F94245">
        <w:rPr>
          <w:rFonts w:ascii="Times New Roman" w:hAnsi="Times New Roman"/>
        </w:rPr>
        <w:t>-oriented</w:t>
      </w:r>
      <w:r w:rsidR="000422A0" w:rsidRPr="005049BF">
        <w:rPr>
          <w:rFonts w:ascii="Times New Roman" w:hAnsi="Times New Roman"/>
        </w:rPr>
        <w:t xml:space="preserve"> sp</w:t>
      </w:r>
      <w:r w:rsidR="00D54E49">
        <w:rPr>
          <w:rFonts w:ascii="Times New Roman" w:hAnsi="Times New Roman"/>
        </w:rPr>
        <w:t>i</w:t>
      </w:r>
      <w:r w:rsidR="000422A0" w:rsidRPr="005049BF">
        <w:rPr>
          <w:rFonts w:ascii="Times New Roman" w:hAnsi="Times New Roman"/>
        </w:rPr>
        <w:t xml:space="preserve">rit of </w:t>
      </w:r>
      <w:r w:rsidR="00422254">
        <w:rPr>
          <w:rFonts w:ascii="Times New Roman" w:hAnsi="Times New Roman"/>
        </w:rPr>
        <w:t xml:space="preserve">charity and </w:t>
      </w:r>
      <w:r w:rsidR="000422A0" w:rsidRPr="005049BF">
        <w:rPr>
          <w:rFonts w:ascii="Times New Roman" w:hAnsi="Times New Roman"/>
        </w:rPr>
        <w:t xml:space="preserve">kindness — </w:t>
      </w:r>
      <w:r w:rsidR="001727D3" w:rsidRPr="005049BF">
        <w:rPr>
          <w:rFonts w:ascii="Times New Roman" w:hAnsi="Times New Roman"/>
        </w:rPr>
        <w:t>appear to be prohibited</w:t>
      </w:r>
      <w:r w:rsidR="00D54E49">
        <w:rPr>
          <w:rFonts w:ascii="Times New Roman" w:hAnsi="Times New Roman"/>
        </w:rPr>
        <w:t xml:space="preserve"> under a literal reading of the Ordinance</w:t>
      </w:r>
      <w:r w:rsidR="001727D3" w:rsidRPr="005049BF">
        <w:rPr>
          <w:rFonts w:ascii="Times New Roman" w:hAnsi="Times New Roman"/>
        </w:rPr>
        <w:t>.</w:t>
      </w:r>
    </w:p>
    <w:p w:rsidR="00C96E9D" w:rsidRPr="005049BF" w:rsidRDefault="00C96E9D" w:rsidP="004D2A49">
      <w:pPr>
        <w:pStyle w:val="MediumGrid21"/>
        <w:ind w:right="-270"/>
        <w:jc w:val="both"/>
        <w:rPr>
          <w:rFonts w:ascii="Times New Roman" w:hAnsi="Times New Roman"/>
        </w:rPr>
      </w:pPr>
    </w:p>
    <w:p w:rsidR="000422A0" w:rsidRPr="005049BF" w:rsidRDefault="001727D3" w:rsidP="004D2A49">
      <w:pPr>
        <w:pStyle w:val="MediumGrid21"/>
        <w:ind w:right="-270"/>
        <w:jc w:val="both"/>
        <w:rPr>
          <w:rFonts w:ascii="Times New Roman" w:hAnsi="Times New Roman"/>
        </w:rPr>
      </w:pPr>
      <w:r w:rsidRPr="005049BF">
        <w:rPr>
          <w:rFonts w:ascii="Times New Roman" w:hAnsi="Times New Roman"/>
        </w:rPr>
        <w:t xml:space="preserve">However, </w:t>
      </w:r>
      <w:r w:rsidR="005049BF">
        <w:rPr>
          <w:rFonts w:ascii="Times New Roman" w:hAnsi="Times New Roman"/>
        </w:rPr>
        <w:t>the</w:t>
      </w:r>
      <w:r w:rsidR="000422A0" w:rsidRPr="005049BF">
        <w:rPr>
          <w:rFonts w:ascii="Times New Roman" w:hAnsi="Times New Roman"/>
        </w:rPr>
        <w:t xml:space="preserve"> Board notes</w:t>
      </w:r>
      <w:r w:rsidR="00D54E49">
        <w:rPr>
          <w:rFonts w:ascii="Times New Roman" w:hAnsi="Times New Roman"/>
        </w:rPr>
        <w:t xml:space="preserve"> that</w:t>
      </w:r>
      <w:r w:rsidR="000422A0" w:rsidRPr="005049BF">
        <w:rPr>
          <w:rFonts w:ascii="Times New Roman" w:hAnsi="Times New Roman"/>
        </w:rPr>
        <w:t>:</w:t>
      </w:r>
    </w:p>
    <w:p w:rsidR="00677E85" w:rsidRDefault="00677E85" w:rsidP="00A01A06">
      <w:pPr>
        <w:pStyle w:val="MediumGrid21"/>
        <w:ind w:right="-274"/>
        <w:jc w:val="both"/>
        <w:rPr>
          <w:rFonts w:ascii="Times New Roman" w:hAnsi="Times New Roman"/>
        </w:rPr>
      </w:pPr>
    </w:p>
    <w:p w:rsidR="00677E85" w:rsidRDefault="00677E85" w:rsidP="00677E85">
      <w:pPr>
        <w:spacing w:after="0" w:line="240" w:lineRule="auto"/>
        <w:ind w:right="-270"/>
        <w:jc w:val="both"/>
        <w:rPr>
          <w:rFonts w:ascii="Times New Roman" w:hAnsi="Times New Roman"/>
        </w:rPr>
      </w:pPr>
      <w:r w:rsidRPr="00677E85">
        <w:rPr>
          <w:rFonts w:ascii="Times New Roman" w:hAnsi="Times New Roman"/>
        </w:rPr>
        <w:t>(i) Under the November 1, 2012 revisions, the Board was granted limited authority to waive the application of various provisions of the Ordinance in limited and appropriate circumstances.  Although this situation would appear to present a paradigmatic instance where we would apply our waiver authority, our waiver authority with respect to the Ordinance’s gift restrictions are limited to travel situations and does not apply here;</w:t>
      </w:r>
      <w:r w:rsidRPr="00677E85">
        <w:rPr>
          <w:rFonts w:ascii="Times New Roman" w:hAnsi="Times New Roman"/>
          <w:vertAlign w:val="superscript"/>
        </w:rPr>
        <w:footnoteReference w:id="4"/>
      </w:r>
      <w:r w:rsidRPr="00677E85">
        <w:rPr>
          <w:rFonts w:ascii="Times New Roman" w:hAnsi="Times New Roman"/>
        </w:rPr>
        <w:t xml:space="preserve"> and</w:t>
      </w:r>
    </w:p>
    <w:p w:rsidR="00EB0922" w:rsidRDefault="00EB0922" w:rsidP="00677E85">
      <w:pPr>
        <w:spacing w:after="0" w:line="240" w:lineRule="auto"/>
        <w:ind w:right="-270"/>
        <w:jc w:val="both"/>
        <w:rPr>
          <w:rFonts w:ascii="Times New Roman" w:hAnsi="Times New Roman"/>
        </w:rPr>
      </w:pPr>
    </w:p>
    <w:p w:rsidR="00292A68" w:rsidRDefault="000422A0" w:rsidP="00A01A06">
      <w:pPr>
        <w:pStyle w:val="MediumGrid21"/>
        <w:ind w:right="-274"/>
        <w:jc w:val="both"/>
        <w:rPr>
          <w:rFonts w:ascii="Times New Roman" w:hAnsi="Times New Roman"/>
        </w:rPr>
      </w:pPr>
      <w:r w:rsidRPr="00A01A06">
        <w:rPr>
          <w:rFonts w:ascii="Times New Roman" w:hAnsi="Times New Roman"/>
        </w:rPr>
        <w:t>(</w:t>
      </w:r>
      <w:r w:rsidR="00677E85">
        <w:rPr>
          <w:rFonts w:ascii="Times New Roman" w:hAnsi="Times New Roman"/>
        </w:rPr>
        <w:t>i</w:t>
      </w:r>
      <w:r w:rsidR="00400561">
        <w:rPr>
          <w:rFonts w:ascii="Times New Roman" w:hAnsi="Times New Roman"/>
        </w:rPr>
        <w:t>i</w:t>
      </w:r>
      <w:r w:rsidRPr="00A01A06">
        <w:rPr>
          <w:rFonts w:ascii="Times New Roman" w:hAnsi="Times New Roman"/>
        </w:rPr>
        <w:t xml:space="preserve">) </w:t>
      </w:r>
      <w:r w:rsidR="00400561">
        <w:rPr>
          <w:rFonts w:ascii="Times New Roman" w:hAnsi="Times New Roman"/>
        </w:rPr>
        <w:t>More importantly, t</w:t>
      </w:r>
      <w:r w:rsidR="00A01A06" w:rsidRPr="00A01A06">
        <w:rPr>
          <w:rFonts w:ascii="Times New Roman" w:hAnsi="Times New Roman"/>
        </w:rPr>
        <w:t>he Board strives to achieve fundamental fairness o</w:t>
      </w:r>
      <w:r w:rsidR="00A01A06">
        <w:rPr>
          <w:rFonts w:ascii="Times New Roman" w:hAnsi="Times New Roman"/>
        </w:rPr>
        <w:t>n the matters addressed to it.  The d</w:t>
      </w:r>
      <w:r w:rsidR="00A01A06" w:rsidRPr="00A01A06">
        <w:rPr>
          <w:rFonts w:ascii="Times New Roman" w:hAnsi="Times New Roman"/>
        </w:rPr>
        <w:t>eath of a loved one brings with it circumstances and challenges that are unique.  That “fairness” result is sometimes uncertain</w:t>
      </w:r>
      <w:r w:rsidR="006E471C">
        <w:rPr>
          <w:rFonts w:ascii="Times New Roman" w:hAnsi="Times New Roman"/>
        </w:rPr>
        <w:t>,</w:t>
      </w:r>
      <w:r w:rsidR="00A01A06" w:rsidRPr="00A01A06">
        <w:rPr>
          <w:rFonts w:ascii="Times New Roman" w:hAnsi="Times New Roman"/>
        </w:rPr>
        <w:t xml:space="preserve"> but it is often, as here, clear; the Board believes it has the authori</w:t>
      </w:r>
      <w:r w:rsidR="00191B45">
        <w:rPr>
          <w:rFonts w:ascii="Times New Roman" w:hAnsi="Times New Roman"/>
        </w:rPr>
        <w:t>ty to do what is fair and right, and has done so in the past.</w:t>
      </w:r>
      <w:r w:rsidR="00191B45">
        <w:rPr>
          <w:rStyle w:val="FootnoteReference"/>
          <w:rFonts w:ascii="Times New Roman" w:hAnsi="Times New Roman"/>
        </w:rPr>
        <w:footnoteReference w:id="5"/>
      </w:r>
      <w:r w:rsidR="00A01A06">
        <w:rPr>
          <w:rFonts w:ascii="Times New Roman" w:hAnsi="Times New Roman"/>
        </w:rPr>
        <w:t xml:space="preserve">  </w:t>
      </w:r>
    </w:p>
    <w:p w:rsidR="003D49ED" w:rsidRPr="003D49ED" w:rsidRDefault="00AD33DF" w:rsidP="00A01A06">
      <w:pPr>
        <w:pStyle w:val="MediumGrid21"/>
        <w:ind w:right="-274"/>
        <w:jc w:val="both"/>
        <w:rPr>
          <w:rFonts w:ascii="Times New Roman" w:hAnsi="Times New Roman"/>
        </w:rPr>
      </w:pPr>
      <w:r w:rsidRPr="003D49ED">
        <w:rPr>
          <w:rFonts w:ascii="Times New Roman" w:hAnsi="Times New Roman"/>
        </w:rPr>
        <w:t xml:space="preserve">In the early 1990’s, </w:t>
      </w:r>
      <w:r w:rsidR="005A3CF7">
        <w:rPr>
          <w:rFonts w:ascii="Times New Roman" w:hAnsi="Times New Roman"/>
        </w:rPr>
        <w:t>we</w:t>
      </w:r>
      <w:r w:rsidRPr="003D49ED">
        <w:rPr>
          <w:rFonts w:ascii="Times New Roman" w:hAnsi="Times New Roman"/>
        </w:rPr>
        <w:t xml:space="preserve"> issued what we </w:t>
      </w:r>
      <w:r w:rsidR="00E00B2B" w:rsidRPr="003D49ED">
        <w:rPr>
          <w:rFonts w:ascii="Times New Roman" w:hAnsi="Times New Roman"/>
        </w:rPr>
        <w:t>refer to as</w:t>
      </w:r>
      <w:r w:rsidRPr="003D49ED">
        <w:rPr>
          <w:rFonts w:ascii="Times New Roman" w:hAnsi="Times New Roman"/>
        </w:rPr>
        <w:t xml:space="preserve"> t</w:t>
      </w:r>
      <w:r w:rsidR="00756908" w:rsidRPr="003D49ED">
        <w:rPr>
          <w:rFonts w:ascii="Times New Roman" w:hAnsi="Times New Roman"/>
        </w:rPr>
        <w:t>he</w:t>
      </w:r>
      <w:r w:rsidR="004165FC">
        <w:rPr>
          <w:rFonts w:ascii="Times New Roman" w:hAnsi="Times New Roman"/>
        </w:rPr>
        <w:t xml:space="preserve"> five (5)</w:t>
      </w:r>
      <w:r w:rsidR="00756908" w:rsidRPr="003D49ED">
        <w:rPr>
          <w:rFonts w:ascii="Times New Roman" w:hAnsi="Times New Roman"/>
        </w:rPr>
        <w:t xml:space="preserve"> “Homestead Cases</w:t>
      </w:r>
      <w:r w:rsidR="00E67F88" w:rsidRPr="003D49ED">
        <w:rPr>
          <w:rFonts w:ascii="Times New Roman" w:hAnsi="Times New Roman"/>
        </w:rPr>
        <w:t>,</w:t>
      </w:r>
      <w:r w:rsidR="00756908" w:rsidRPr="003D49ED">
        <w:rPr>
          <w:rFonts w:ascii="Times New Roman" w:hAnsi="Times New Roman"/>
        </w:rPr>
        <w:t xml:space="preserve">” </w:t>
      </w:r>
      <w:r w:rsidR="00E67F88" w:rsidRPr="003D49ED">
        <w:rPr>
          <w:rFonts w:ascii="Times New Roman" w:hAnsi="Times New Roman"/>
        </w:rPr>
        <w:t xml:space="preserve">where </w:t>
      </w:r>
      <w:r w:rsidR="003D49ED">
        <w:rPr>
          <w:rFonts w:ascii="Times New Roman" w:hAnsi="Times New Roman"/>
        </w:rPr>
        <w:t>the Board reserved</w:t>
      </w:r>
      <w:r w:rsidRPr="003D49ED">
        <w:rPr>
          <w:rFonts w:ascii="Times New Roman" w:hAnsi="Times New Roman"/>
        </w:rPr>
        <w:t xml:space="preserve"> for itself</w:t>
      </w:r>
      <w:r w:rsidR="00756908" w:rsidRPr="003D49ED">
        <w:rPr>
          <w:rFonts w:ascii="Times New Roman" w:hAnsi="Times New Roman"/>
        </w:rPr>
        <w:t xml:space="preserve"> the ability to fashion an equitable remedy when the facts require it. </w:t>
      </w:r>
      <w:r w:rsidR="00756908" w:rsidRPr="003D49ED">
        <w:rPr>
          <w:rFonts w:ascii="Times New Roman" w:hAnsi="Times New Roman"/>
          <w:i/>
        </w:rPr>
        <w:t>See, e.g.,</w:t>
      </w:r>
      <w:r w:rsidR="00756908" w:rsidRPr="003D49ED">
        <w:rPr>
          <w:rFonts w:ascii="Times New Roman" w:hAnsi="Times New Roman"/>
        </w:rPr>
        <w:t xml:space="preserve"> Case No. 900</w:t>
      </w:r>
      <w:r w:rsidR="002621E1">
        <w:rPr>
          <w:rFonts w:ascii="Times New Roman" w:hAnsi="Times New Roman"/>
        </w:rPr>
        <w:t>40</w:t>
      </w:r>
      <w:r w:rsidR="00756908" w:rsidRPr="003D49ED">
        <w:rPr>
          <w:rFonts w:ascii="Times New Roman" w:hAnsi="Times New Roman"/>
        </w:rPr>
        <w:t>.A</w:t>
      </w:r>
      <w:r w:rsidR="00C33A61" w:rsidRPr="003D49ED">
        <w:rPr>
          <w:rFonts w:ascii="Times New Roman" w:hAnsi="Times New Roman"/>
        </w:rPr>
        <w:t>.</w:t>
      </w:r>
      <w:r w:rsidR="00B17333">
        <w:rPr>
          <w:rFonts w:ascii="Times New Roman" w:hAnsi="Times New Roman"/>
        </w:rPr>
        <w:t xml:space="preserve"> </w:t>
      </w:r>
      <w:r w:rsidR="00B17333" w:rsidRPr="003D49ED">
        <w:rPr>
          <w:rFonts w:ascii="Times New Roman" w:hAnsi="Times New Roman"/>
        </w:rPr>
        <w:t xml:space="preserve"> </w:t>
      </w:r>
      <w:r w:rsidR="00C33A61" w:rsidRPr="003D49ED">
        <w:rPr>
          <w:rFonts w:ascii="Times New Roman" w:hAnsi="Times New Roman"/>
        </w:rPr>
        <w:t>In th</w:t>
      </w:r>
      <w:r w:rsidR="005A30FE" w:rsidRPr="003D49ED">
        <w:rPr>
          <w:rFonts w:ascii="Times New Roman" w:hAnsi="Times New Roman"/>
        </w:rPr>
        <w:t>at</w:t>
      </w:r>
      <w:r w:rsidR="00C33A61" w:rsidRPr="003D49ED">
        <w:rPr>
          <w:rFonts w:ascii="Times New Roman" w:hAnsi="Times New Roman"/>
        </w:rPr>
        <w:t xml:space="preserve"> case, </w:t>
      </w:r>
      <w:r w:rsidR="00756908" w:rsidRPr="003D49ED">
        <w:rPr>
          <w:rFonts w:ascii="Times New Roman" w:hAnsi="Times New Roman"/>
        </w:rPr>
        <w:t xml:space="preserve">a City employee </w:t>
      </w:r>
      <w:r w:rsidR="00C33A61" w:rsidRPr="003D49ED">
        <w:rPr>
          <w:rFonts w:ascii="Times New Roman" w:hAnsi="Times New Roman"/>
        </w:rPr>
        <w:t xml:space="preserve">requested an opinion from the Board </w:t>
      </w:r>
      <w:r w:rsidR="000132D2" w:rsidRPr="003D49ED">
        <w:rPr>
          <w:rFonts w:ascii="Times New Roman" w:hAnsi="Times New Roman"/>
        </w:rPr>
        <w:t xml:space="preserve">as to </w:t>
      </w:r>
      <w:r w:rsidR="00C33A61" w:rsidRPr="003D49ED">
        <w:rPr>
          <w:rFonts w:ascii="Times New Roman" w:hAnsi="Times New Roman"/>
        </w:rPr>
        <w:t xml:space="preserve">whether the employee could </w:t>
      </w:r>
      <w:r w:rsidR="00B03273" w:rsidRPr="003D49ED">
        <w:rPr>
          <w:rFonts w:ascii="Times New Roman" w:hAnsi="Times New Roman"/>
        </w:rPr>
        <w:t>continu</w:t>
      </w:r>
      <w:r w:rsidR="00C33A61" w:rsidRPr="003D49ED">
        <w:rPr>
          <w:rFonts w:ascii="Times New Roman" w:hAnsi="Times New Roman"/>
        </w:rPr>
        <w:t>e</w:t>
      </w:r>
      <w:r w:rsidR="00B03273" w:rsidRPr="003D49ED">
        <w:rPr>
          <w:rFonts w:ascii="Times New Roman" w:hAnsi="Times New Roman"/>
        </w:rPr>
        <w:t xml:space="preserve"> to </w:t>
      </w:r>
      <w:r w:rsidR="00756908" w:rsidRPr="003D49ED">
        <w:rPr>
          <w:rFonts w:ascii="Times New Roman" w:hAnsi="Times New Roman"/>
        </w:rPr>
        <w:t>receiv</w:t>
      </w:r>
      <w:r w:rsidR="00B03273" w:rsidRPr="003D49ED">
        <w:rPr>
          <w:rFonts w:ascii="Times New Roman" w:hAnsi="Times New Roman"/>
        </w:rPr>
        <w:t xml:space="preserve">e the benefits of </w:t>
      </w:r>
      <w:r w:rsidR="00784998" w:rsidRPr="003D49ED">
        <w:rPr>
          <w:rFonts w:ascii="Times New Roman" w:hAnsi="Times New Roman"/>
        </w:rPr>
        <w:t xml:space="preserve">purchasing and rebuilding </w:t>
      </w:r>
      <w:r w:rsidR="00756908" w:rsidRPr="003D49ED">
        <w:rPr>
          <w:rFonts w:ascii="Times New Roman" w:hAnsi="Times New Roman"/>
        </w:rPr>
        <w:t>City-owned real estate under the City’s Urban Homestead Program</w:t>
      </w:r>
      <w:r w:rsidR="00C33A61" w:rsidRPr="003D49ED">
        <w:rPr>
          <w:rFonts w:ascii="Times New Roman" w:hAnsi="Times New Roman"/>
        </w:rPr>
        <w:t>.</w:t>
      </w:r>
      <w:r w:rsidR="00756908" w:rsidRPr="003D49ED">
        <w:rPr>
          <w:rFonts w:ascii="Times New Roman" w:hAnsi="Times New Roman"/>
        </w:rPr>
        <w:t xml:space="preserve"> </w:t>
      </w:r>
      <w:r w:rsidR="00E67F88" w:rsidRPr="003D49ED">
        <w:rPr>
          <w:rFonts w:ascii="Times New Roman" w:hAnsi="Times New Roman"/>
        </w:rPr>
        <w:t xml:space="preserve"> T</w:t>
      </w:r>
      <w:r w:rsidR="00C33A61" w:rsidRPr="003D49ED">
        <w:rPr>
          <w:rFonts w:ascii="Times New Roman" w:hAnsi="Times New Roman"/>
        </w:rPr>
        <w:t xml:space="preserve">he Board </w:t>
      </w:r>
      <w:r w:rsidR="002621E1">
        <w:rPr>
          <w:rFonts w:ascii="Times New Roman" w:hAnsi="Times New Roman"/>
        </w:rPr>
        <w:t>noted first</w:t>
      </w:r>
      <w:r w:rsidR="00C33A61" w:rsidRPr="003D49ED">
        <w:rPr>
          <w:rFonts w:ascii="Times New Roman" w:hAnsi="Times New Roman"/>
        </w:rPr>
        <w:t xml:space="preserve"> “that, as a general matter, the Government Ethics Ordinance prohibits Ci</w:t>
      </w:r>
      <w:r w:rsidR="003D49ED">
        <w:rPr>
          <w:rFonts w:ascii="Times New Roman" w:hAnsi="Times New Roman"/>
        </w:rPr>
        <w:t>ty employees from participating</w:t>
      </w:r>
      <w:r w:rsidR="00C33A61" w:rsidRPr="003D49ED">
        <w:rPr>
          <w:rFonts w:ascii="Times New Roman" w:hAnsi="Times New Roman"/>
        </w:rPr>
        <w:t xml:space="preserve">” </w:t>
      </w:r>
      <w:r w:rsidR="00E67F88" w:rsidRPr="003D49ED">
        <w:rPr>
          <w:rFonts w:ascii="Times New Roman" w:hAnsi="Times New Roman"/>
        </w:rPr>
        <w:t xml:space="preserve">because </w:t>
      </w:r>
      <w:r w:rsidR="00784998" w:rsidRPr="003D49ED">
        <w:rPr>
          <w:rFonts w:ascii="Times New Roman" w:hAnsi="Times New Roman"/>
        </w:rPr>
        <w:t xml:space="preserve">the employee </w:t>
      </w:r>
      <w:r w:rsidR="00C33A61" w:rsidRPr="003D49ED">
        <w:rPr>
          <w:rFonts w:ascii="Times New Roman" w:hAnsi="Times New Roman"/>
        </w:rPr>
        <w:t xml:space="preserve">would </w:t>
      </w:r>
      <w:r w:rsidR="00E67F88" w:rsidRPr="003D49ED">
        <w:rPr>
          <w:rFonts w:ascii="Times New Roman" w:hAnsi="Times New Roman"/>
        </w:rPr>
        <w:t xml:space="preserve">have had </w:t>
      </w:r>
      <w:r w:rsidR="00756908" w:rsidRPr="003D49ED">
        <w:rPr>
          <w:rFonts w:ascii="Times New Roman" w:hAnsi="Times New Roman"/>
        </w:rPr>
        <w:t xml:space="preserve">a prohibited financial interest in City business. </w:t>
      </w:r>
      <w:r w:rsidR="00E67F88" w:rsidRPr="003D49ED">
        <w:rPr>
          <w:rFonts w:ascii="Times New Roman" w:hAnsi="Times New Roman"/>
        </w:rPr>
        <w:t xml:space="preserve"> </w:t>
      </w:r>
      <w:r w:rsidR="00C03E51" w:rsidRPr="003D49ED">
        <w:rPr>
          <w:rFonts w:ascii="Times New Roman" w:hAnsi="Times New Roman"/>
        </w:rPr>
        <w:t xml:space="preserve">However, after </w:t>
      </w:r>
      <w:r w:rsidR="002621E1">
        <w:rPr>
          <w:rFonts w:ascii="Times New Roman" w:hAnsi="Times New Roman"/>
        </w:rPr>
        <w:t xml:space="preserve">investigating and </w:t>
      </w:r>
      <w:r w:rsidR="00C03E51" w:rsidRPr="003D49ED">
        <w:rPr>
          <w:rFonts w:ascii="Times New Roman" w:hAnsi="Times New Roman"/>
        </w:rPr>
        <w:t>reviewing the facts</w:t>
      </w:r>
      <w:r w:rsidR="003D49ED">
        <w:rPr>
          <w:rFonts w:ascii="Times New Roman" w:hAnsi="Times New Roman"/>
        </w:rPr>
        <w:t xml:space="preserve"> </w:t>
      </w:r>
      <w:r w:rsidR="002621E1">
        <w:rPr>
          <w:rFonts w:ascii="Times New Roman" w:hAnsi="Times New Roman"/>
        </w:rPr>
        <w:t xml:space="preserve">adduced from that </w:t>
      </w:r>
      <w:r w:rsidR="00F75941">
        <w:rPr>
          <w:rFonts w:ascii="Times New Roman" w:hAnsi="Times New Roman"/>
        </w:rPr>
        <w:t>investigation</w:t>
      </w:r>
      <w:r w:rsidR="002621E1">
        <w:rPr>
          <w:rFonts w:ascii="Times New Roman" w:hAnsi="Times New Roman"/>
        </w:rPr>
        <w:t xml:space="preserve">, </w:t>
      </w:r>
      <w:r w:rsidR="003D49ED">
        <w:rPr>
          <w:rFonts w:ascii="Times New Roman" w:hAnsi="Times New Roman"/>
        </w:rPr>
        <w:t>in detail</w:t>
      </w:r>
      <w:r w:rsidR="00C03E51" w:rsidRPr="003D49ED">
        <w:rPr>
          <w:rFonts w:ascii="Times New Roman" w:hAnsi="Times New Roman"/>
        </w:rPr>
        <w:t xml:space="preserve">, the Board </w:t>
      </w:r>
      <w:r w:rsidR="003D49ED">
        <w:rPr>
          <w:rFonts w:ascii="Times New Roman" w:hAnsi="Times New Roman"/>
        </w:rPr>
        <w:t xml:space="preserve">determined that it would allow these employees to participate, despite the wording of the Ordinance. </w:t>
      </w:r>
      <w:r w:rsidR="002621E1">
        <w:rPr>
          <w:rFonts w:ascii="Times New Roman" w:hAnsi="Times New Roman"/>
        </w:rPr>
        <w:t>Our</w:t>
      </w:r>
      <w:r w:rsidR="00756908" w:rsidRPr="003D49ED">
        <w:rPr>
          <w:rFonts w:ascii="Times New Roman" w:hAnsi="Times New Roman"/>
        </w:rPr>
        <w:t xml:space="preserve"> </w:t>
      </w:r>
      <w:r w:rsidR="003D49ED">
        <w:rPr>
          <w:rFonts w:ascii="Times New Roman" w:hAnsi="Times New Roman"/>
        </w:rPr>
        <w:t>determination</w:t>
      </w:r>
      <w:r w:rsidR="00E67F88" w:rsidRPr="003D49ED">
        <w:rPr>
          <w:rFonts w:ascii="Times New Roman" w:hAnsi="Times New Roman"/>
        </w:rPr>
        <w:t xml:space="preserve"> was based on </w:t>
      </w:r>
      <w:r w:rsidR="003D49ED">
        <w:rPr>
          <w:rFonts w:ascii="Times New Roman" w:hAnsi="Times New Roman"/>
        </w:rPr>
        <w:t>these</w:t>
      </w:r>
      <w:r w:rsidR="00E67F88" w:rsidRPr="003D49ED">
        <w:rPr>
          <w:rFonts w:ascii="Times New Roman" w:hAnsi="Times New Roman"/>
        </w:rPr>
        <w:t xml:space="preserve"> factors:  (i) </w:t>
      </w:r>
      <w:r w:rsidR="00756908" w:rsidRPr="003D49ED">
        <w:rPr>
          <w:rFonts w:ascii="Times New Roman" w:hAnsi="Times New Roman"/>
        </w:rPr>
        <w:t xml:space="preserve">the program involved a lottery; </w:t>
      </w:r>
      <w:r w:rsidR="00E67F88" w:rsidRPr="003D49ED">
        <w:rPr>
          <w:rFonts w:ascii="Times New Roman" w:hAnsi="Times New Roman"/>
        </w:rPr>
        <w:t xml:space="preserve">(ii) </w:t>
      </w:r>
      <w:r w:rsidR="00756908" w:rsidRPr="003D49ED">
        <w:rPr>
          <w:rFonts w:ascii="Times New Roman" w:hAnsi="Times New Roman"/>
        </w:rPr>
        <w:t>the City employee acted in good faith</w:t>
      </w:r>
      <w:r w:rsidR="00E67F88" w:rsidRPr="003D49ED">
        <w:rPr>
          <w:rFonts w:ascii="Times New Roman" w:hAnsi="Times New Roman"/>
        </w:rPr>
        <w:t>;</w:t>
      </w:r>
      <w:r w:rsidR="00F94245" w:rsidRPr="003D49ED">
        <w:rPr>
          <w:rFonts w:ascii="Times New Roman" w:hAnsi="Times New Roman"/>
        </w:rPr>
        <w:t xml:space="preserve"> </w:t>
      </w:r>
      <w:r w:rsidR="00756908" w:rsidRPr="003D49ED">
        <w:rPr>
          <w:rFonts w:ascii="Times New Roman" w:hAnsi="Times New Roman"/>
        </w:rPr>
        <w:t xml:space="preserve">and </w:t>
      </w:r>
      <w:r w:rsidR="00E67F88" w:rsidRPr="003D49ED">
        <w:rPr>
          <w:rFonts w:ascii="Times New Roman" w:hAnsi="Times New Roman"/>
        </w:rPr>
        <w:t xml:space="preserve">(iii) the City employee </w:t>
      </w:r>
      <w:r w:rsidR="00F94245" w:rsidRPr="003D49ED">
        <w:rPr>
          <w:rFonts w:ascii="Times New Roman" w:hAnsi="Times New Roman"/>
        </w:rPr>
        <w:t xml:space="preserve">expended </w:t>
      </w:r>
      <w:r w:rsidR="00756908" w:rsidRPr="003D49ED">
        <w:rPr>
          <w:rFonts w:ascii="Times New Roman" w:hAnsi="Times New Roman"/>
        </w:rPr>
        <w:t xml:space="preserve">substantial time and money pursuing and executing under this City program. </w:t>
      </w:r>
      <w:r w:rsidR="002621E1">
        <w:rPr>
          <w:rFonts w:ascii="Times New Roman" w:hAnsi="Times New Roman"/>
        </w:rPr>
        <w:t>We</w:t>
      </w:r>
      <w:r w:rsidR="00C33A61" w:rsidRPr="003D49ED">
        <w:rPr>
          <w:rFonts w:ascii="Times New Roman" w:hAnsi="Times New Roman"/>
        </w:rPr>
        <w:t xml:space="preserve"> </w:t>
      </w:r>
      <w:r w:rsidR="003D49ED" w:rsidRPr="003D49ED">
        <w:rPr>
          <w:rFonts w:ascii="Times New Roman" w:hAnsi="Times New Roman"/>
        </w:rPr>
        <w:t>wrote that:</w:t>
      </w:r>
    </w:p>
    <w:p w:rsidR="003D49ED" w:rsidRPr="003D49ED" w:rsidRDefault="003D49ED" w:rsidP="004D2A49">
      <w:pPr>
        <w:pStyle w:val="MediumGrid21"/>
        <w:ind w:right="-270"/>
        <w:jc w:val="both"/>
        <w:rPr>
          <w:rFonts w:ascii="Times New Roman" w:hAnsi="Times New Roman"/>
        </w:rPr>
      </w:pPr>
    </w:p>
    <w:p w:rsidR="003D49ED" w:rsidRPr="003D49ED" w:rsidRDefault="003D49ED" w:rsidP="00FA5E58">
      <w:pPr>
        <w:pStyle w:val="MediumGrid21"/>
        <w:ind w:left="360" w:right="-270"/>
        <w:jc w:val="both"/>
        <w:rPr>
          <w:rFonts w:ascii="Times New Roman" w:hAnsi="Times New Roman"/>
        </w:rPr>
      </w:pPr>
      <w:r w:rsidRPr="003D49ED">
        <w:rPr>
          <w:rFonts w:ascii="Times New Roman" w:hAnsi="Times New Roman"/>
        </w:rPr>
        <w:t>“[B]</w:t>
      </w:r>
      <w:r w:rsidR="00C33A61" w:rsidRPr="003D49ED">
        <w:rPr>
          <w:rFonts w:ascii="Times New Roman" w:hAnsi="Times New Roman"/>
        </w:rPr>
        <w:t xml:space="preserve">ased on the totality of the circumstances in this particular case, it </w:t>
      </w:r>
      <w:r w:rsidR="002621E1">
        <w:rPr>
          <w:rFonts w:ascii="Times New Roman" w:hAnsi="Times New Roman"/>
        </w:rPr>
        <w:t>[is]</w:t>
      </w:r>
      <w:r w:rsidR="00C33A61" w:rsidRPr="003D49ED">
        <w:rPr>
          <w:rFonts w:ascii="Times New Roman" w:hAnsi="Times New Roman"/>
        </w:rPr>
        <w:t xml:space="preserve"> the Board’s opinion that equity and justice require</w:t>
      </w:r>
      <w:r w:rsidR="002621E1">
        <w:rPr>
          <w:rFonts w:ascii="Times New Roman" w:hAnsi="Times New Roman"/>
        </w:rPr>
        <w:t xml:space="preserve"> [us]</w:t>
      </w:r>
      <w:r w:rsidR="00C33A61" w:rsidRPr="003D49ED">
        <w:rPr>
          <w:rFonts w:ascii="Times New Roman" w:hAnsi="Times New Roman"/>
        </w:rPr>
        <w:t xml:space="preserve"> to conclude that [th</w:t>
      </w:r>
      <w:r w:rsidR="002621E1">
        <w:rPr>
          <w:rFonts w:ascii="Times New Roman" w:hAnsi="Times New Roman"/>
        </w:rPr>
        <w:t>is</w:t>
      </w:r>
      <w:r w:rsidR="00C33A61" w:rsidRPr="003D49ED">
        <w:rPr>
          <w:rFonts w:ascii="Times New Roman" w:hAnsi="Times New Roman"/>
        </w:rPr>
        <w:t xml:space="preserve"> employee</w:t>
      </w:r>
      <w:r w:rsidR="002621E1">
        <w:rPr>
          <w:rFonts w:ascii="Times New Roman" w:hAnsi="Times New Roman"/>
        </w:rPr>
        <w:t>s</w:t>
      </w:r>
      <w:r w:rsidR="00C33A61" w:rsidRPr="003D49ED">
        <w:rPr>
          <w:rFonts w:ascii="Times New Roman" w:hAnsi="Times New Roman"/>
        </w:rPr>
        <w:t xml:space="preserve">] should </w:t>
      </w:r>
      <w:r w:rsidR="007E2148" w:rsidRPr="003D49ED">
        <w:rPr>
          <w:rFonts w:ascii="Times New Roman" w:hAnsi="Times New Roman"/>
        </w:rPr>
        <w:t xml:space="preserve">have </w:t>
      </w:r>
      <w:r w:rsidR="00C33A61" w:rsidRPr="003D49ED">
        <w:rPr>
          <w:rFonts w:ascii="Times New Roman" w:hAnsi="Times New Roman"/>
        </w:rPr>
        <w:t>be</w:t>
      </w:r>
      <w:r w:rsidR="007E2148" w:rsidRPr="003D49ED">
        <w:rPr>
          <w:rFonts w:ascii="Times New Roman" w:hAnsi="Times New Roman"/>
        </w:rPr>
        <w:t>en</w:t>
      </w:r>
      <w:r w:rsidR="00C33A61" w:rsidRPr="003D49ED">
        <w:rPr>
          <w:rFonts w:ascii="Times New Roman" w:hAnsi="Times New Roman"/>
        </w:rPr>
        <w:t xml:space="preserve"> allowed to continue </w:t>
      </w:r>
      <w:r w:rsidR="005A30FE" w:rsidRPr="003D49ED">
        <w:rPr>
          <w:rFonts w:ascii="Times New Roman" w:hAnsi="Times New Roman"/>
        </w:rPr>
        <w:t>to participate in the Program</w:t>
      </w:r>
      <w:r w:rsidR="00E67F88" w:rsidRPr="003D49ED">
        <w:rPr>
          <w:rFonts w:ascii="Times New Roman" w:hAnsi="Times New Roman"/>
        </w:rPr>
        <w:t>.</w:t>
      </w:r>
      <w:r w:rsidRPr="003D49ED">
        <w:rPr>
          <w:rFonts w:ascii="Times New Roman" w:hAnsi="Times New Roman"/>
        </w:rPr>
        <w:t xml:space="preserve"> … [we] c</w:t>
      </w:r>
      <w:r w:rsidR="00756908" w:rsidRPr="003D49ED">
        <w:rPr>
          <w:rFonts w:ascii="Times New Roman" w:hAnsi="Times New Roman"/>
        </w:rPr>
        <w:t>annot in this case make the recommendation that [the City employee] be prohibited from further participation in the Program. We have concluded that to do so would be highly inequitable and unjust</w:t>
      </w:r>
      <w:r w:rsidR="002621E1">
        <w:rPr>
          <w:rFonts w:ascii="Times New Roman" w:hAnsi="Times New Roman"/>
        </w:rPr>
        <w:t>… Therefore, in coming to our decision on this matter, we considered not just the letter of the Ordinance but the principles of equity, good conscience and justice.</w:t>
      </w:r>
      <w:r w:rsidR="00756908" w:rsidRPr="003D49ED">
        <w:rPr>
          <w:rFonts w:ascii="Times New Roman" w:hAnsi="Times New Roman"/>
        </w:rPr>
        <w:t xml:space="preserve">” </w:t>
      </w:r>
    </w:p>
    <w:p w:rsidR="003D49ED" w:rsidRDefault="003D49ED" w:rsidP="004D2A49">
      <w:pPr>
        <w:pStyle w:val="MediumGrid21"/>
        <w:ind w:right="-270"/>
        <w:jc w:val="both"/>
        <w:rPr>
          <w:rFonts w:ascii="Times New Roman" w:hAnsi="Times New Roman"/>
        </w:rPr>
      </w:pPr>
    </w:p>
    <w:p w:rsidR="00AF2BF5" w:rsidRPr="00F75941" w:rsidRDefault="00AF2BF5" w:rsidP="004D2A49">
      <w:pPr>
        <w:pStyle w:val="MediumGrid21"/>
        <w:ind w:right="-270"/>
        <w:jc w:val="both"/>
        <w:rPr>
          <w:rFonts w:ascii="Times New Roman" w:hAnsi="Times New Roman"/>
          <w:strike/>
        </w:rPr>
      </w:pPr>
      <w:r w:rsidRPr="003D49ED">
        <w:rPr>
          <w:rFonts w:ascii="Times New Roman" w:hAnsi="Times New Roman"/>
        </w:rPr>
        <w:t>We</w:t>
      </w:r>
      <w:r w:rsidR="00756908" w:rsidRPr="003D49ED">
        <w:rPr>
          <w:rFonts w:ascii="Times New Roman" w:hAnsi="Times New Roman"/>
        </w:rPr>
        <w:t xml:space="preserve"> </w:t>
      </w:r>
      <w:r w:rsidR="00E00B2B" w:rsidRPr="003D49ED">
        <w:rPr>
          <w:rFonts w:ascii="Times New Roman" w:hAnsi="Times New Roman"/>
        </w:rPr>
        <w:t>applied the same</w:t>
      </w:r>
      <w:r w:rsidR="00B03273" w:rsidRPr="003D49ED">
        <w:rPr>
          <w:rFonts w:ascii="Times New Roman" w:hAnsi="Times New Roman"/>
        </w:rPr>
        <w:t xml:space="preserve"> reasoning and made the same determinations in</w:t>
      </w:r>
      <w:r w:rsidR="00756908" w:rsidRPr="003D49ED">
        <w:rPr>
          <w:rFonts w:ascii="Times New Roman" w:hAnsi="Times New Roman"/>
        </w:rPr>
        <w:t xml:space="preserve"> </w:t>
      </w:r>
      <w:r w:rsidR="005D3343" w:rsidRPr="003D49ED">
        <w:rPr>
          <w:rFonts w:ascii="Times New Roman" w:hAnsi="Times New Roman"/>
        </w:rPr>
        <w:t xml:space="preserve">four </w:t>
      </w:r>
      <w:r w:rsidR="00B03273" w:rsidRPr="003D49ED">
        <w:rPr>
          <w:rFonts w:ascii="Times New Roman" w:hAnsi="Times New Roman"/>
        </w:rPr>
        <w:t xml:space="preserve">other </w:t>
      </w:r>
      <w:r w:rsidR="00756908" w:rsidRPr="003D49ED">
        <w:rPr>
          <w:rFonts w:ascii="Times New Roman" w:hAnsi="Times New Roman"/>
        </w:rPr>
        <w:t>Homestead program cases</w:t>
      </w:r>
      <w:r w:rsidR="002E5710" w:rsidRPr="003D49ED">
        <w:rPr>
          <w:rFonts w:ascii="Times New Roman" w:hAnsi="Times New Roman"/>
        </w:rPr>
        <w:t xml:space="preserve"> based on</w:t>
      </w:r>
      <w:r w:rsidR="00B03273" w:rsidRPr="003D49ED">
        <w:rPr>
          <w:rFonts w:ascii="Times New Roman" w:hAnsi="Times New Roman"/>
        </w:rPr>
        <w:t xml:space="preserve"> similar facts</w:t>
      </w:r>
      <w:r w:rsidR="00756908" w:rsidRPr="003D49ED">
        <w:rPr>
          <w:rFonts w:ascii="Times New Roman" w:hAnsi="Times New Roman"/>
        </w:rPr>
        <w:t>.</w:t>
      </w:r>
      <w:r w:rsidR="00B17333">
        <w:rPr>
          <w:rStyle w:val="FootnoteReference"/>
          <w:rFonts w:ascii="Times New Roman" w:hAnsi="Times New Roman"/>
        </w:rPr>
        <w:footnoteReference w:id="6"/>
      </w:r>
      <w:r w:rsidR="00756908" w:rsidRPr="003D49ED">
        <w:rPr>
          <w:rFonts w:ascii="Times New Roman" w:hAnsi="Times New Roman"/>
        </w:rPr>
        <w:t xml:space="preserve"> </w:t>
      </w:r>
      <w:r w:rsidR="00671D10">
        <w:rPr>
          <w:rFonts w:ascii="Times New Roman" w:hAnsi="Times New Roman"/>
        </w:rPr>
        <w:t>Twenty y</w:t>
      </w:r>
      <w:r w:rsidR="00AD33DF" w:rsidRPr="005049BF">
        <w:rPr>
          <w:rFonts w:ascii="Times New Roman" w:hAnsi="Times New Roman"/>
        </w:rPr>
        <w:t xml:space="preserve">ears later, </w:t>
      </w:r>
      <w:r w:rsidR="002C23E5">
        <w:rPr>
          <w:rFonts w:ascii="Times New Roman" w:hAnsi="Times New Roman"/>
        </w:rPr>
        <w:t xml:space="preserve">the Board cited </w:t>
      </w:r>
      <w:r w:rsidR="00AD33DF" w:rsidRPr="005049BF">
        <w:rPr>
          <w:rFonts w:ascii="Times New Roman" w:hAnsi="Times New Roman"/>
        </w:rPr>
        <w:t>t</w:t>
      </w:r>
      <w:r w:rsidR="00B03273" w:rsidRPr="005049BF">
        <w:rPr>
          <w:rFonts w:ascii="Times New Roman" w:hAnsi="Times New Roman"/>
        </w:rPr>
        <w:t>he</w:t>
      </w:r>
      <w:r w:rsidR="00AD33DF" w:rsidRPr="005049BF">
        <w:rPr>
          <w:rFonts w:ascii="Times New Roman" w:hAnsi="Times New Roman"/>
        </w:rPr>
        <w:t>se Homestead</w:t>
      </w:r>
      <w:r w:rsidR="00B03273" w:rsidRPr="005049BF">
        <w:rPr>
          <w:rFonts w:ascii="Times New Roman" w:hAnsi="Times New Roman"/>
        </w:rPr>
        <w:t xml:space="preserve"> cases in a lobbying case. </w:t>
      </w:r>
      <w:r w:rsidR="00F5189C">
        <w:rPr>
          <w:rFonts w:ascii="Times New Roman" w:hAnsi="Times New Roman"/>
        </w:rPr>
        <w:t xml:space="preserve"> </w:t>
      </w:r>
      <w:r w:rsidR="00B03273" w:rsidRPr="005049BF">
        <w:rPr>
          <w:rFonts w:ascii="Times New Roman" w:hAnsi="Times New Roman"/>
        </w:rPr>
        <w:t xml:space="preserve">In Case No. 10041.36.LOB, </w:t>
      </w:r>
      <w:r w:rsidR="00D3503B" w:rsidRPr="005049BF">
        <w:rPr>
          <w:rFonts w:ascii="Times New Roman" w:hAnsi="Times New Roman"/>
        </w:rPr>
        <w:t>a lobbyist</w:t>
      </w:r>
      <w:r w:rsidR="003A3E8C" w:rsidRPr="005049BF">
        <w:rPr>
          <w:rFonts w:ascii="Times New Roman" w:hAnsi="Times New Roman"/>
        </w:rPr>
        <w:t>,</w:t>
      </w:r>
      <w:r w:rsidR="00D3503B" w:rsidRPr="005049BF">
        <w:rPr>
          <w:rFonts w:ascii="Times New Roman" w:hAnsi="Times New Roman"/>
        </w:rPr>
        <w:t xml:space="preserve"> who the Board determined violat</w:t>
      </w:r>
      <w:r>
        <w:rPr>
          <w:rFonts w:ascii="Times New Roman" w:hAnsi="Times New Roman"/>
        </w:rPr>
        <w:t xml:space="preserve">ed </w:t>
      </w:r>
      <w:r w:rsidR="001E4E92">
        <w:rPr>
          <w:rFonts w:ascii="Times New Roman" w:hAnsi="Times New Roman"/>
        </w:rPr>
        <w:t>the</w:t>
      </w:r>
      <w:r w:rsidR="001E4E92" w:rsidRPr="005049BF">
        <w:rPr>
          <w:rFonts w:ascii="Times New Roman" w:hAnsi="Times New Roman"/>
        </w:rPr>
        <w:t xml:space="preserve"> </w:t>
      </w:r>
      <w:r w:rsidR="00D3503B" w:rsidRPr="005049BF">
        <w:rPr>
          <w:rFonts w:ascii="Times New Roman" w:hAnsi="Times New Roman"/>
        </w:rPr>
        <w:t xml:space="preserve">lobbyist filing requirements and </w:t>
      </w:r>
      <w:r w:rsidR="003A3E8C" w:rsidRPr="005049BF">
        <w:rPr>
          <w:rFonts w:ascii="Times New Roman" w:hAnsi="Times New Roman"/>
        </w:rPr>
        <w:t xml:space="preserve">properly </w:t>
      </w:r>
      <w:r>
        <w:rPr>
          <w:rFonts w:ascii="Times New Roman" w:hAnsi="Times New Roman"/>
        </w:rPr>
        <w:t xml:space="preserve">had his </w:t>
      </w:r>
      <w:r w:rsidR="00D3503B" w:rsidRPr="005049BF">
        <w:rPr>
          <w:rFonts w:ascii="Times New Roman" w:hAnsi="Times New Roman"/>
        </w:rPr>
        <w:t>lobbying registration</w:t>
      </w:r>
      <w:r>
        <w:rPr>
          <w:rFonts w:ascii="Times New Roman" w:hAnsi="Times New Roman"/>
        </w:rPr>
        <w:t xml:space="preserve"> cancelled</w:t>
      </w:r>
      <w:r w:rsidR="003A3E8C" w:rsidRPr="005049BF">
        <w:rPr>
          <w:rFonts w:ascii="Times New Roman" w:hAnsi="Times New Roman"/>
        </w:rPr>
        <w:t xml:space="preserve">, </w:t>
      </w:r>
      <w:r w:rsidR="003D49ED">
        <w:rPr>
          <w:rFonts w:ascii="Times New Roman" w:hAnsi="Times New Roman"/>
        </w:rPr>
        <w:t xml:space="preserve">later </w:t>
      </w:r>
      <w:r w:rsidR="00AD33DF" w:rsidRPr="005049BF">
        <w:rPr>
          <w:rFonts w:ascii="Times New Roman" w:hAnsi="Times New Roman"/>
        </w:rPr>
        <w:t>petitioned the Board</w:t>
      </w:r>
      <w:r w:rsidR="003A3E8C" w:rsidRPr="005049BF">
        <w:rPr>
          <w:rFonts w:ascii="Times New Roman" w:hAnsi="Times New Roman"/>
        </w:rPr>
        <w:t xml:space="preserve"> to allow him to continue his registration. </w:t>
      </w:r>
      <w:r w:rsidR="002C23E5">
        <w:rPr>
          <w:rFonts w:ascii="Times New Roman" w:hAnsi="Times New Roman"/>
        </w:rPr>
        <w:t xml:space="preserve"> </w:t>
      </w:r>
      <w:r w:rsidR="003A3E8C" w:rsidRPr="005049BF">
        <w:rPr>
          <w:rFonts w:ascii="Times New Roman" w:hAnsi="Times New Roman"/>
        </w:rPr>
        <w:t xml:space="preserve">In his </w:t>
      </w:r>
      <w:r w:rsidR="001E4E92">
        <w:rPr>
          <w:rFonts w:ascii="Times New Roman" w:hAnsi="Times New Roman"/>
        </w:rPr>
        <w:t>petition</w:t>
      </w:r>
      <w:r w:rsidR="003A3E8C" w:rsidRPr="005049BF">
        <w:rPr>
          <w:rFonts w:ascii="Times New Roman" w:hAnsi="Times New Roman"/>
        </w:rPr>
        <w:t xml:space="preserve">, </w:t>
      </w:r>
      <w:r w:rsidR="003D49ED">
        <w:rPr>
          <w:rFonts w:ascii="Times New Roman" w:hAnsi="Times New Roman"/>
        </w:rPr>
        <w:t>he</w:t>
      </w:r>
      <w:r w:rsidR="003A3E8C" w:rsidRPr="005049BF">
        <w:rPr>
          <w:rFonts w:ascii="Times New Roman" w:hAnsi="Times New Roman"/>
        </w:rPr>
        <w:t xml:space="preserve"> </w:t>
      </w:r>
      <w:r w:rsidR="00F24E08">
        <w:rPr>
          <w:rFonts w:ascii="Times New Roman" w:hAnsi="Times New Roman"/>
        </w:rPr>
        <w:t xml:space="preserve">set </w:t>
      </w:r>
      <w:r w:rsidR="003A3E8C" w:rsidRPr="005049BF">
        <w:rPr>
          <w:rFonts w:ascii="Times New Roman" w:hAnsi="Times New Roman"/>
        </w:rPr>
        <w:t xml:space="preserve">forth facts, including religious observation requirements, among others, from which the Board could discern that </w:t>
      </w:r>
      <w:r w:rsidR="001E4E92">
        <w:rPr>
          <w:rFonts w:ascii="Times New Roman" w:hAnsi="Times New Roman"/>
        </w:rPr>
        <w:t>he</w:t>
      </w:r>
      <w:r w:rsidR="003A3E8C" w:rsidRPr="005049BF">
        <w:rPr>
          <w:rFonts w:ascii="Times New Roman" w:hAnsi="Times New Roman"/>
        </w:rPr>
        <w:t xml:space="preserve"> (like the City employee</w:t>
      </w:r>
      <w:r w:rsidR="002C23E5">
        <w:rPr>
          <w:rFonts w:ascii="Times New Roman" w:hAnsi="Times New Roman"/>
        </w:rPr>
        <w:t>s</w:t>
      </w:r>
      <w:r w:rsidR="00AD33DF" w:rsidRPr="005049BF">
        <w:rPr>
          <w:rFonts w:ascii="Times New Roman" w:hAnsi="Times New Roman"/>
        </w:rPr>
        <w:t xml:space="preserve"> in the Homestead cases</w:t>
      </w:r>
      <w:r w:rsidR="003A3E8C" w:rsidRPr="005049BF">
        <w:rPr>
          <w:rFonts w:ascii="Times New Roman" w:hAnsi="Times New Roman"/>
        </w:rPr>
        <w:t xml:space="preserve">) had not only made a good faith effort to comply with all </w:t>
      </w:r>
      <w:r w:rsidR="001E4E92">
        <w:rPr>
          <w:rFonts w:ascii="Times New Roman" w:hAnsi="Times New Roman"/>
        </w:rPr>
        <w:t xml:space="preserve">the </w:t>
      </w:r>
      <w:r w:rsidR="003A3E8C" w:rsidRPr="005049BF">
        <w:rPr>
          <w:rFonts w:ascii="Times New Roman" w:hAnsi="Times New Roman"/>
        </w:rPr>
        <w:t xml:space="preserve">lobbying laws, but was prevented from properly filing </w:t>
      </w:r>
      <w:r w:rsidR="00AD33DF" w:rsidRPr="005049BF">
        <w:rPr>
          <w:rFonts w:ascii="Times New Roman" w:hAnsi="Times New Roman"/>
        </w:rPr>
        <w:t xml:space="preserve">due to </w:t>
      </w:r>
      <w:r w:rsidR="003A3E8C" w:rsidRPr="005049BF">
        <w:rPr>
          <w:rFonts w:ascii="Times New Roman" w:hAnsi="Times New Roman"/>
        </w:rPr>
        <w:t xml:space="preserve">external circumstances. </w:t>
      </w:r>
      <w:r w:rsidR="002C23E5">
        <w:rPr>
          <w:rFonts w:ascii="Times New Roman" w:hAnsi="Times New Roman"/>
        </w:rPr>
        <w:t xml:space="preserve"> </w:t>
      </w:r>
      <w:r w:rsidR="003D49ED">
        <w:rPr>
          <w:rFonts w:ascii="Times New Roman" w:hAnsi="Times New Roman"/>
        </w:rPr>
        <w:t>The opinion noted</w:t>
      </w:r>
      <w:r w:rsidR="003A3E8C" w:rsidRPr="005049BF">
        <w:rPr>
          <w:rFonts w:ascii="Times New Roman" w:hAnsi="Times New Roman"/>
        </w:rPr>
        <w:t xml:space="preserve"> that</w:t>
      </w:r>
      <w:r w:rsidR="003D49ED">
        <w:rPr>
          <w:rFonts w:ascii="Times New Roman" w:hAnsi="Times New Roman"/>
        </w:rPr>
        <w:t>, while</w:t>
      </w:r>
      <w:r w:rsidR="003A3E8C" w:rsidRPr="005049BF">
        <w:rPr>
          <w:rFonts w:ascii="Times New Roman" w:hAnsi="Times New Roman"/>
        </w:rPr>
        <w:t xml:space="preserve"> </w:t>
      </w:r>
      <w:r w:rsidR="003D49ED">
        <w:rPr>
          <w:rFonts w:ascii="Times New Roman" w:hAnsi="Times New Roman"/>
        </w:rPr>
        <w:t>the Board</w:t>
      </w:r>
      <w:r w:rsidR="003A3E8C" w:rsidRPr="005049BF">
        <w:rPr>
          <w:rFonts w:ascii="Times New Roman" w:hAnsi="Times New Roman"/>
        </w:rPr>
        <w:t xml:space="preserve"> may not grant “exceptions” in the case of Ordinance violations</w:t>
      </w:r>
      <w:r w:rsidR="00AD33DF" w:rsidRPr="005049BF">
        <w:rPr>
          <w:rFonts w:ascii="Times New Roman" w:hAnsi="Times New Roman"/>
        </w:rPr>
        <w:t>,</w:t>
      </w:r>
      <w:r w:rsidR="003A3E8C" w:rsidRPr="005049BF">
        <w:rPr>
          <w:rFonts w:ascii="Times New Roman" w:hAnsi="Times New Roman"/>
        </w:rPr>
        <w:t xml:space="preserve"> </w:t>
      </w:r>
      <w:r w:rsidR="00410F2D">
        <w:rPr>
          <w:rFonts w:ascii="Times New Roman" w:hAnsi="Times New Roman"/>
        </w:rPr>
        <w:t>it</w:t>
      </w:r>
      <w:r w:rsidR="003A3E8C" w:rsidRPr="005049BF">
        <w:rPr>
          <w:rFonts w:ascii="Times New Roman" w:hAnsi="Times New Roman"/>
        </w:rPr>
        <w:t xml:space="preserve"> </w:t>
      </w:r>
      <w:r w:rsidR="00AD33DF" w:rsidRPr="005049BF">
        <w:rPr>
          <w:rFonts w:ascii="Times New Roman" w:hAnsi="Times New Roman"/>
        </w:rPr>
        <w:t>d</w:t>
      </w:r>
      <w:r w:rsidR="00410F2D">
        <w:rPr>
          <w:rFonts w:ascii="Times New Roman" w:hAnsi="Times New Roman"/>
        </w:rPr>
        <w:t>id</w:t>
      </w:r>
      <w:r w:rsidR="00AD33DF" w:rsidRPr="005049BF">
        <w:rPr>
          <w:rFonts w:ascii="Times New Roman" w:hAnsi="Times New Roman"/>
        </w:rPr>
        <w:t xml:space="preserve"> have the</w:t>
      </w:r>
      <w:r w:rsidR="003A3E8C" w:rsidRPr="005049BF">
        <w:rPr>
          <w:rFonts w:ascii="Times New Roman" w:hAnsi="Times New Roman"/>
        </w:rPr>
        <w:t xml:space="preserve"> authority to fashion equitable remedies</w:t>
      </w:r>
      <w:r w:rsidR="00410F2D">
        <w:rPr>
          <w:rFonts w:ascii="Times New Roman" w:hAnsi="Times New Roman"/>
        </w:rPr>
        <w:t xml:space="preserve">, which it did.  </w:t>
      </w:r>
    </w:p>
    <w:p w:rsidR="002621E1" w:rsidRDefault="002621E1" w:rsidP="004D2A49">
      <w:pPr>
        <w:pStyle w:val="MediumGrid21"/>
        <w:ind w:right="-270"/>
        <w:jc w:val="both"/>
        <w:rPr>
          <w:rFonts w:ascii="Times New Roman" w:hAnsi="Times New Roman"/>
        </w:rPr>
      </w:pPr>
    </w:p>
    <w:p w:rsidR="009A65AE" w:rsidRDefault="009A65AE" w:rsidP="004D2A49">
      <w:pPr>
        <w:pStyle w:val="MediumGrid21"/>
        <w:ind w:right="-270"/>
        <w:jc w:val="both"/>
        <w:rPr>
          <w:rFonts w:ascii="Times New Roman" w:hAnsi="Times New Roman"/>
        </w:rPr>
      </w:pPr>
      <w:r>
        <w:rPr>
          <w:rFonts w:ascii="Times New Roman" w:hAnsi="Times New Roman"/>
        </w:rPr>
        <w:t>I</w:t>
      </w:r>
      <w:r w:rsidR="00AF2BF5">
        <w:rPr>
          <w:rFonts w:ascii="Times New Roman" w:hAnsi="Times New Roman"/>
        </w:rPr>
        <w:t>n th</w:t>
      </w:r>
      <w:r>
        <w:rPr>
          <w:rFonts w:ascii="Times New Roman" w:hAnsi="Times New Roman"/>
        </w:rPr>
        <w:t xml:space="preserve">e present </w:t>
      </w:r>
      <w:r w:rsidR="00BC1786">
        <w:rPr>
          <w:rFonts w:ascii="Times New Roman" w:hAnsi="Times New Roman"/>
        </w:rPr>
        <w:t>situation</w:t>
      </w:r>
      <w:r>
        <w:rPr>
          <w:rFonts w:ascii="Times New Roman" w:hAnsi="Times New Roman"/>
        </w:rPr>
        <w:t xml:space="preserve">, </w:t>
      </w:r>
      <w:r w:rsidR="00AF2BF5">
        <w:rPr>
          <w:rFonts w:ascii="Times New Roman" w:hAnsi="Times New Roman"/>
        </w:rPr>
        <w:t>based on the totality of circumstances,</w:t>
      </w:r>
      <w:r w:rsidR="002621E1">
        <w:rPr>
          <w:rFonts w:ascii="Times New Roman" w:hAnsi="Times New Roman"/>
        </w:rPr>
        <w:t xml:space="preserve"> we</w:t>
      </w:r>
      <w:r>
        <w:rPr>
          <w:rFonts w:ascii="Times New Roman" w:hAnsi="Times New Roman"/>
        </w:rPr>
        <w:t xml:space="preserve"> conclude that</w:t>
      </w:r>
      <w:r w:rsidR="00F75941">
        <w:rPr>
          <w:rFonts w:ascii="Times New Roman" w:hAnsi="Times New Roman"/>
        </w:rPr>
        <w:t>, in the same spirit of these earlier Board cases,</w:t>
      </w:r>
      <w:r>
        <w:rPr>
          <w:rFonts w:ascii="Times New Roman" w:hAnsi="Times New Roman"/>
        </w:rPr>
        <w:t xml:space="preserve"> </w:t>
      </w:r>
      <w:r w:rsidR="00AF2BF5">
        <w:rPr>
          <w:rFonts w:ascii="Times New Roman" w:hAnsi="Times New Roman"/>
        </w:rPr>
        <w:t>it is appropriate for the Board to fashion an equitable remedy consistent with the spirit of the Ordinance</w:t>
      </w:r>
      <w:r>
        <w:rPr>
          <w:rFonts w:ascii="Times New Roman" w:hAnsi="Times New Roman"/>
        </w:rPr>
        <w:t xml:space="preserve"> and within the </w:t>
      </w:r>
      <w:r w:rsidR="00AF2BF5">
        <w:rPr>
          <w:rFonts w:ascii="Times New Roman" w:hAnsi="Times New Roman"/>
        </w:rPr>
        <w:t>conditions we enumerate</w:t>
      </w:r>
      <w:r w:rsidR="008F4715">
        <w:rPr>
          <w:rFonts w:ascii="Times New Roman" w:hAnsi="Times New Roman"/>
        </w:rPr>
        <w:t xml:space="preserve"> below.</w:t>
      </w:r>
    </w:p>
    <w:p w:rsidR="00BC1786" w:rsidRPr="005049BF" w:rsidRDefault="00BC1786" w:rsidP="004D2A49">
      <w:pPr>
        <w:pStyle w:val="MediumGrid21"/>
        <w:ind w:right="-270"/>
        <w:jc w:val="both"/>
        <w:rPr>
          <w:rFonts w:ascii="Times New Roman" w:hAnsi="Times New Roman"/>
        </w:rPr>
      </w:pPr>
    </w:p>
    <w:p w:rsidR="00ED76EC" w:rsidRDefault="00AF2BF5" w:rsidP="004D2A49">
      <w:pPr>
        <w:pStyle w:val="MediumGrid21"/>
        <w:ind w:right="-270"/>
        <w:jc w:val="both"/>
        <w:rPr>
          <w:rFonts w:ascii="Times New Roman" w:hAnsi="Times New Roman"/>
        </w:rPr>
      </w:pPr>
      <w:r w:rsidRPr="00ED27E7">
        <w:rPr>
          <w:rFonts w:ascii="Times New Roman" w:hAnsi="Times New Roman"/>
          <w:b/>
        </w:rPr>
        <w:t>Determination.</w:t>
      </w:r>
      <w:r>
        <w:rPr>
          <w:rFonts w:ascii="Times New Roman" w:hAnsi="Times New Roman"/>
        </w:rPr>
        <w:t xml:space="preserve">  </w:t>
      </w:r>
      <w:r w:rsidR="003B4F4E">
        <w:rPr>
          <w:rFonts w:ascii="Times New Roman" w:hAnsi="Times New Roman"/>
        </w:rPr>
        <w:t>B</w:t>
      </w:r>
      <w:r w:rsidR="00AD33DF" w:rsidRPr="005049BF">
        <w:rPr>
          <w:rFonts w:ascii="Times New Roman" w:hAnsi="Times New Roman"/>
        </w:rPr>
        <w:t>ased on principles of justice and equity,</w:t>
      </w:r>
      <w:r w:rsidR="003B4F4E">
        <w:rPr>
          <w:rFonts w:ascii="Times New Roman" w:hAnsi="Times New Roman"/>
        </w:rPr>
        <w:t xml:space="preserve"> the Board determines </w:t>
      </w:r>
      <w:r w:rsidR="002621E1">
        <w:rPr>
          <w:rFonts w:ascii="Times New Roman" w:hAnsi="Times New Roman"/>
        </w:rPr>
        <w:t xml:space="preserve">that </w:t>
      </w:r>
      <w:r w:rsidR="009C4FC5" w:rsidRPr="005049BF">
        <w:rPr>
          <w:rFonts w:ascii="Times New Roman" w:hAnsi="Times New Roman"/>
        </w:rPr>
        <w:t xml:space="preserve">the fundraising campaigns </w:t>
      </w:r>
      <w:r w:rsidR="001E4E92">
        <w:rPr>
          <w:rFonts w:ascii="Times New Roman" w:hAnsi="Times New Roman"/>
        </w:rPr>
        <w:t xml:space="preserve">described in this </w:t>
      </w:r>
      <w:r w:rsidR="008F4715">
        <w:rPr>
          <w:rFonts w:ascii="Times New Roman" w:hAnsi="Times New Roman"/>
        </w:rPr>
        <w:t xml:space="preserve">advisory </w:t>
      </w:r>
      <w:r w:rsidR="001E4E92">
        <w:rPr>
          <w:rFonts w:ascii="Times New Roman" w:hAnsi="Times New Roman"/>
        </w:rPr>
        <w:t>opinion may operate to raise</w:t>
      </w:r>
      <w:r w:rsidR="009C4FC5" w:rsidRPr="005049BF">
        <w:rPr>
          <w:rFonts w:ascii="Times New Roman" w:hAnsi="Times New Roman"/>
        </w:rPr>
        <w:t xml:space="preserve"> cash</w:t>
      </w:r>
      <w:r w:rsidR="001E4E92">
        <w:rPr>
          <w:rFonts w:ascii="Times New Roman" w:hAnsi="Times New Roman"/>
        </w:rPr>
        <w:t>, checks, gifts cards</w:t>
      </w:r>
      <w:r w:rsidR="008F4715">
        <w:rPr>
          <w:rFonts w:ascii="Times New Roman" w:hAnsi="Times New Roman"/>
        </w:rPr>
        <w:t>,</w:t>
      </w:r>
      <w:r w:rsidR="001E4E92">
        <w:rPr>
          <w:rFonts w:ascii="Times New Roman" w:hAnsi="Times New Roman"/>
        </w:rPr>
        <w:t xml:space="preserve"> </w:t>
      </w:r>
      <w:r>
        <w:rPr>
          <w:rFonts w:ascii="Times New Roman" w:hAnsi="Times New Roman"/>
        </w:rPr>
        <w:t xml:space="preserve">or in-kind donations </w:t>
      </w:r>
      <w:r w:rsidR="001E4E92">
        <w:rPr>
          <w:rFonts w:ascii="Times New Roman" w:hAnsi="Times New Roman"/>
        </w:rPr>
        <w:t>for the purpose of aid</w:t>
      </w:r>
      <w:r w:rsidR="000B57A9">
        <w:rPr>
          <w:rFonts w:ascii="Times New Roman" w:hAnsi="Times New Roman"/>
        </w:rPr>
        <w:t>ing</w:t>
      </w:r>
      <w:r w:rsidR="001E4E92">
        <w:rPr>
          <w:rFonts w:ascii="Times New Roman" w:hAnsi="Times New Roman"/>
        </w:rPr>
        <w:t xml:space="preserve"> </w:t>
      </w:r>
      <w:r w:rsidR="00B319BC">
        <w:rPr>
          <w:rFonts w:ascii="Times New Roman" w:hAnsi="Times New Roman"/>
        </w:rPr>
        <w:t>E</w:t>
      </w:r>
      <w:r w:rsidR="00B047B2">
        <w:rPr>
          <w:rFonts w:ascii="Times New Roman" w:hAnsi="Times New Roman"/>
        </w:rPr>
        <w:t xml:space="preserve"> and </w:t>
      </w:r>
      <w:r w:rsidR="00B319BC">
        <w:rPr>
          <w:rFonts w:ascii="Times New Roman" w:hAnsi="Times New Roman"/>
        </w:rPr>
        <w:t>E’s minor child</w:t>
      </w:r>
      <w:r w:rsidR="001E4E92">
        <w:rPr>
          <w:rFonts w:ascii="Times New Roman" w:hAnsi="Times New Roman"/>
        </w:rPr>
        <w:t>,</w:t>
      </w:r>
      <w:r w:rsidR="00AD33DF" w:rsidRPr="005049BF">
        <w:rPr>
          <w:rFonts w:ascii="Times New Roman" w:hAnsi="Times New Roman"/>
        </w:rPr>
        <w:t xml:space="preserve"> and </w:t>
      </w:r>
      <w:r w:rsidR="001E4E92">
        <w:rPr>
          <w:rFonts w:ascii="Times New Roman" w:hAnsi="Times New Roman"/>
        </w:rPr>
        <w:t xml:space="preserve">that </w:t>
      </w:r>
      <w:r w:rsidR="00B319BC">
        <w:rPr>
          <w:rFonts w:ascii="Times New Roman" w:hAnsi="Times New Roman"/>
        </w:rPr>
        <w:t xml:space="preserve">E </w:t>
      </w:r>
      <w:r w:rsidR="002621E1">
        <w:rPr>
          <w:rFonts w:ascii="Times New Roman" w:hAnsi="Times New Roman"/>
        </w:rPr>
        <w:t xml:space="preserve">may </w:t>
      </w:r>
      <w:r w:rsidR="001E4E92">
        <w:rPr>
          <w:rFonts w:ascii="Times New Roman" w:hAnsi="Times New Roman"/>
        </w:rPr>
        <w:t>accept these</w:t>
      </w:r>
      <w:r w:rsidR="000B57A9">
        <w:rPr>
          <w:rFonts w:ascii="Times New Roman" w:hAnsi="Times New Roman"/>
        </w:rPr>
        <w:t xml:space="preserve">, </w:t>
      </w:r>
      <w:r w:rsidR="001D2F97">
        <w:rPr>
          <w:rFonts w:ascii="Times New Roman" w:hAnsi="Times New Roman"/>
        </w:rPr>
        <w:t xml:space="preserve">subject to </w:t>
      </w:r>
      <w:r w:rsidR="000B57A9">
        <w:rPr>
          <w:rFonts w:ascii="Times New Roman" w:hAnsi="Times New Roman"/>
        </w:rPr>
        <w:t xml:space="preserve">the following conditions: </w:t>
      </w:r>
    </w:p>
    <w:p w:rsidR="00ED76EC" w:rsidRDefault="00ED76EC" w:rsidP="004D2A49">
      <w:pPr>
        <w:pStyle w:val="MediumGrid21"/>
        <w:ind w:right="-270"/>
        <w:jc w:val="both"/>
        <w:rPr>
          <w:rFonts w:ascii="Times New Roman" w:hAnsi="Times New Roman"/>
        </w:rPr>
      </w:pPr>
    </w:p>
    <w:p w:rsidR="00BC1786" w:rsidRDefault="000B57A9" w:rsidP="004D2A49">
      <w:pPr>
        <w:pStyle w:val="MediumGrid21"/>
        <w:ind w:right="-270"/>
        <w:jc w:val="both"/>
        <w:rPr>
          <w:rFonts w:ascii="Times New Roman" w:hAnsi="Times New Roman"/>
        </w:rPr>
      </w:pPr>
      <w:r>
        <w:rPr>
          <w:rFonts w:ascii="Times New Roman" w:hAnsi="Times New Roman"/>
        </w:rPr>
        <w:t>(i)</w:t>
      </w:r>
      <w:r w:rsidR="008233E2" w:rsidRPr="005049BF">
        <w:rPr>
          <w:rFonts w:ascii="Times New Roman" w:hAnsi="Times New Roman"/>
        </w:rPr>
        <w:t xml:space="preserve"> </w:t>
      </w:r>
      <w:r w:rsidR="002A1F0B">
        <w:rPr>
          <w:rFonts w:ascii="Times New Roman" w:hAnsi="Times New Roman"/>
        </w:rPr>
        <w:t>C</w:t>
      </w:r>
      <w:r w:rsidR="008233E2" w:rsidRPr="005049BF">
        <w:rPr>
          <w:rFonts w:ascii="Times New Roman" w:hAnsi="Times New Roman"/>
        </w:rPr>
        <w:t>ash</w:t>
      </w:r>
      <w:r w:rsidR="00BD3130">
        <w:rPr>
          <w:rFonts w:ascii="Times New Roman" w:hAnsi="Times New Roman"/>
        </w:rPr>
        <w:t xml:space="preserve">, checks or gifts cards raised </w:t>
      </w:r>
      <w:r w:rsidR="009C4FC5" w:rsidRPr="005049BF">
        <w:rPr>
          <w:rFonts w:ascii="Times New Roman" w:hAnsi="Times New Roman"/>
        </w:rPr>
        <w:t>through the</w:t>
      </w:r>
      <w:r w:rsidR="00BD3130">
        <w:rPr>
          <w:rFonts w:ascii="Times New Roman" w:hAnsi="Times New Roman"/>
        </w:rPr>
        <w:t>se</w:t>
      </w:r>
      <w:r w:rsidR="009C4FC5" w:rsidRPr="005049BF">
        <w:rPr>
          <w:rFonts w:ascii="Times New Roman" w:hAnsi="Times New Roman"/>
        </w:rPr>
        <w:t xml:space="preserve"> fundraising campaigns</w:t>
      </w:r>
      <w:r w:rsidR="00BD3130">
        <w:rPr>
          <w:rFonts w:ascii="Times New Roman" w:hAnsi="Times New Roman"/>
        </w:rPr>
        <w:t xml:space="preserve"> may not exceed </w:t>
      </w:r>
      <w:r w:rsidR="009C4FC5" w:rsidRPr="005049BF">
        <w:rPr>
          <w:rFonts w:ascii="Times New Roman" w:hAnsi="Times New Roman"/>
        </w:rPr>
        <w:t xml:space="preserve">$50 for the total amount given by any </w:t>
      </w:r>
      <w:r w:rsidR="00BD3130">
        <w:rPr>
          <w:rFonts w:ascii="Times New Roman" w:hAnsi="Times New Roman"/>
        </w:rPr>
        <w:t xml:space="preserve">single </w:t>
      </w:r>
      <w:r w:rsidR="009C4FC5" w:rsidRPr="005049BF">
        <w:rPr>
          <w:rFonts w:ascii="Times New Roman" w:hAnsi="Times New Roman"/>
        </w:rPr>
        <w:t>donor</w:t>
      </w:r>
      <w:r w:rsidR="000016A5">
        <w:rPr>
          <w:rFonts w:ascii="Times New Roman" w:hAnsi="Times New Roman"/>
        </w:rPr>
        <w:t>/household</w:t>
      </w:r>
      <w:r w:rsidR="00AF2BF5">
        <w:rPr>
          <w:rStyle w:val="FootnoteReference"/>
          <w:rFonts w:ascii="Times New Roman" w:hAnsi="Times New Roman"/>
        </w:rPr>
        <w:footnoteReference w:id="7"/>
      </w:r>
      <w:r w:rsidR="00AF2BF5">
        <w:rPr>
          <w:rFonts w:ascii="Times New Roman" w:hAnsi="Times New Roman"/>
        </w:rPr>
        <w:t>;</w:t>
      </w:r>
    </w:p>
    <w:p w:rsidR="00EA49AA" w:rsidRDefault="00EA49AA" w:rsidP="004D2A49">
      <w:pPr>
        <w:pStyle w:val="MediumGrid21"/>
        <w:ind w:right="-270"/>
        <w:jc w:val="both"/>
        <w:rPr>
          <w:rFonts w:ascii="Times New Roman" w:hAnsi="Times New Roman"/>
        </w:rPr>
      </w:pPr>
    </w:p>
    <w:p w:rsidR="00D611CB" w:rsidRDefault="00AF2BF5" w:rsidP="004D2A49">
      <w:pPr>
        <w:pStyle w:val="MediumGrid21"/>
        <w:ind w:right="-270"/>
        <w:jc w:val="both"/>
        <w:rPr>
          <w:rFonts w:ascii="Times New Roman" w:hAnsi="Times New Roman"/>
        </w:rPr>
      </w:pPr>
      <w:r>
        <w:rPr>
          <w:rFonts w:ascii="Times New Roman" w:hAnsi="Times New Roman"/>
        </w:rPr>
        <w:t xml:space="preserve">(ii) </w:t>
      </w:r>
      <w:r w:rsidR="00B319BC">
        <w:rPr>
          <w:rFonts w:ascii="Times New Roman" w:hAnsi="Times New Roman"/>
        </w:rPr>
        <w:t xml:space="preserve">E’s and E’s late covered </w:t>
      </w:r>
      <w:r w:rsidR="002A0E8A" w:rsidRPr="005049BF">
        <w:rPr>
          <w:rFonts w:ascii="Times New Roman" w:hAnsi="Times New Roman"/>
        </w:rPr>
        <w:t>relative</w:t>
      </w:r>
      <w:r w:rsidR="00B319BC">
        <w:rPr>
          <w:rFonts w:ascii="Times New Roman" w:hAnsi="Times New Roman"/>
        </w:rPr>
        <w:t>’</w:t>
      </w:r>
      <w:r w:rsidR="002A0E8A" w:rsidRPr="005049BF">
        <w:rPr>
          <w:rFonts w:ascii="Times New Roman" w:hAnsi="Times New Roman"/>
        </w:rPr>
        <w:t>s (</w:t>
      </w:r>
      <w:r>
        <w:rPr>
          <w:rFonts w:ascii="Times New Roman" w:hAnsi="Times New Roman"/>
        </w:rPr>
        <w:t>as</w:t>
      </w:r>
      <w:r w:rsidR="002A0E8A" w:rsidRPr="005049BF">
        <w:rPr>
          <w:rFonts w:ascii="Times New Roman" w:hAnsi="Times New Roman"/>
        </w:rPr>
        <w:t xml:space="preserve"> defined in §2-156-010(w)</w:t>
      </w:r>
      <w:r w:rsidR="00644676">
        <w:rPr>
          <w:rFonts w:ascii="Times New Roman" w:hAnsi="Times New Roman"/>
        </w:rPr>
        <w:t>)</w:t>
      </w:r>
      <w:r>
        <w:rPr>
          <w:rFonts w:ascii="Times New Roman" w:hAnsi="Times New Roman"/>
        </w:rPr>
        <w:t xml:space="preserve"> or personal friends</w:t>
      </w:r>
      <w:r w:rsidR="00897FE1">
        <w:rPr>
          <w:rStyle w:val="FootnoteReference"/>
          <w:rFonts w:ascii="Times New Roman" w:hAnsi="Times New Roman"/>
        </w:rPr>
        <w:footnoteReference w:id="8"/>
      </w:r>
      <w:r>
        <w:rPr>
          <w:rFonts w:ascii="Times New Roman" w:hAnsi="Times New Roman"/>
        </w:rPr>
        <w:t xml:space="preserve"> may gift</w:t>
      </w:r>
      <w:r w:rsidR="002A0E8A" w:rsidRPr="005049BF">
        <w:rPr>
          <w:rFonts w:ascii="Times New Roman" w:hAnsi="Times New Roman"/>
        </w:rPr>
        <w:t xml:space="preserve"> </w:t>
      </w:r>
      <w:r w:rsidR="004B65F4">
        <w:rPr>
          <w:rFonts w:ascii="Times New Roman" w:hAnsi="Times New Roman"/>
        </w:rPr>
        <w:t>cash</w:t>
      </w:r>
      <w:r>
        <w:rPr>
          <w:rFonts w:ascii="Times New Roman" w:hAnsi="Times New Roman"/>
        </w:rPr>
        <w:t xml:space="preserve"> or gift cards to </w:t>
      </w:r>
      <w:r w:rsidR="00B319BC">
        <w:rPr>
          <w:rFonts w:ascii="Times New Roman" w:hAnsi="Times New Roman"/>
        </w:rPr>
        <w:t>E</w:t>
      </w:r>
      <w:r>
        <w:rPr>
          <w:rFonts w:ascii="Times New Roman" w:hAnsi="Times New Roman"/>
        </w:rPr>
        <w:t xml:space="preserve"> in</w:t>
      </w:r>
      <w:r w:rsidR="002A0E8A" w:rsidRPr="005049BF">
        <w:rPr>
          <w:rFonts w:ascii="Times New Roman" w:hAnsi="Times New Roman"/>
        </w:rPr>
        <w:t xml:space="preserve"> any amount</w:t>
      </w:r>
      <w:r>
        <w:rPr>
          <w:rFonts w:ascii="Times New Roman" w:hAnsi="Times New Roman"/>
        </w:rPr>
        <w:t>;</w:t>
      </w:r>
    </w:p>
    <w:p w:rsidR="00ED76EC" w:rsidRDefault="00271E86" w:rsidP="004D2A49">
      <w:pPr>
        <w:pStyle w:val="MediumGrid21"/>
        <w:ind w:right="-270"/>
        <w:jc w:val="both"/>
        <w:rPr>
          <w:rFonts w:ascii="Times New Roman" w:hAnsi="Times New Roman"/>
        </w:rPr>
      </w:pPr>
      <w:r>
        <w:rPr>
          <w:rFonts w:ascii="Times New Roman" w:hAnsi="Times New Roman"/>
        </w:rPr>
        <w:t>(iii)</w:t>
      </w:r>
      <w:r w:rsidR="00BD3130">
        <w:rPr>
          <w:rFonts w:ascii="Times New Roman" w:hAnsi="Times New Roman"/>
        </w:rPr>
        <w:t xml:space="preserve"> </w:t>
      </w:r>
      <w:r w:rsidR="002A1F0B">
        <w:rPr>
          <w:rFonts w:ascii="Times New Roman" w:hAnsi="Times New Roman"/>
        </w:rPr>
        <w:t>Y</w:t>
      </w:r>
      <w:r w:rsidR="002A0E8A" w:rsidRPr="005049BF">
        <w:rPr>
          <w:rFonts w:ascii="Times New Roman" w:hAnsi="Times New Roman"/>
        </w:rPr>
        <w:t xml:space="preserve">ou and </w:t>
      </w:r>
      <w:r w:rsidR="00B319BC">
        <w:rPr>
          <w:rFonts w:ascii="Times New Roman" w:hAnsi="Times New Roman"/>
        </w:rPr>
        <w:t>E</w:t>
      </w:r>
      <w:r w:rsidR="005118E8">
        <w:rPr>
          <w:rFonts w:ascii="Times New Roman" w:hAnsi="Times New Roman"/>
        </w:rPr>
        <w:t>’s</w:t>
      </w:r>
      <w:r w:rsidR="005118E8" w:rsidRPr="005049BF">
        <w:rPr>
          <w:rFonts w:ascii="Times New Roman" w:hAnsi="Times New Roman"/>
        </w:rPr>
        <w:t xml:space="preserve"> </w:t>
      </w:r>
      <w:r w:rsidR="002A0E8A" w:rsidRPr="005049BF">
        <w:rPr>
          <w:rFonts w:ascii="Times New Roman" w:hAnsi="Times New Roman"/>
        </w:rPr>
        <w:t xml:space="preserve">co-workers </w:t>
      </w:r>
      <w:r w:rsidR="004B65F4">
        <w:rPr>
          <w:rFonts w:ascii="Times New Roman" w:hAnsi="Times New Roman"/>
        </w:rPr>
        <w:t>may also</w:t>
      </w:r>
      <w:r w:rsidR="002A0E8A" w:rsidRPr="005049BF">
        <w:rPr>
          <w:rFonts w:ascii="Times New Roman" w:hAnsi="Times New Roman"/>
        </w:rPr>
        <w:t xml:space="preserve"> </w:t>
      </w:r>
      <w:r w:rsidR="004B65F4">
        <w:rPr>
          <w:rFonts w:ascii="Times New Roman" w:hAnsi="Times New Roman"/>
        </w:rPr>
        <w:t xml:space="preserve">give him cash or gifts cards in any amount </w:t>
      </w:r>
      <w:r w:rsidR="005118E8">
        <w:rPr>
          <w:rFonts w:ascii="Times New Roman" w:hAnsi="Times New Roman"/>
        </w:rPr>
        <w:t>for this purpose</w:t>
      </w:r>
      <w:r>
        <w:rPr>
          <w:rFonts w:ascii="Times New Roman" w:hAnsi="Times New Roman"/>
        </w:rPr>
        <w:t xml:space="preserve">; </w:t>
      </w:r>
    </w:p>
    <w:p w:rsidR="002621E1" w:rsidRDefault="002621E1" w:rsidP="004D2A49">
      <w:pPr>
        <w:pStyle w:val="MediumGrid21"/>
        <w:ind w:right="-270"/>
        <w:jc w:val="both"/>
        <w:rPr>
          <w:rFonts w:ascii="Times New Roman" w:hAnsi="Times New Roman"/>
        </w:rPr>
      </w:pPr>
    </w:p>
    <w:p w:rsidR="00ED76EC" w:rsidRDefault="00271E86" w:rsidP="004D2A49">
      <w:pPr>
        <w:pStyle w:val="MediumGrid21"/>
        <w:ind w:right="-270"/>
        <w:jc w:val="both"/>
        <w:rPr>
          <w:rFonts w:ascii="Times New Roman" w:hAnsi="Times New Roman"/>
        </w:rPr>
      </w:pPr>
      <w:r>
        <w:rPr>
          <w:rFonts w:ascii="Times New Roman" w:hAnsi="Times New Roman"/>
        </w:rPr>
        <w:t>(iv)</w:t>
      </w:r>
      <w:r w:rsidR="00A01A06">
        <w:rPr>
          <w:rFonts w:ascii="Times New Roman" w:hAnsi="Times New Roman"/>
        </w:rPr>
        <w:t xml:space="preserve"> </w:t>
      </w:r>
      <w:r w:rsidR="002A1F0B">
        <w:rPr>
          <w:rFonts w:ascii="Times New Roman" w:hAnsi="Times New Roman"/>
        </w:rPr>
        <w:t>A</w:t>
      </w:r>
      <w:r w:rsidR="00E35222" w:rsidRPr="00ED27E7">
        <w:rPr>
          <w:rFonts w:ascii="Times New Roman" w:hAnsi="Times New Roman"/>
        </w:rPr>
        <w:t xml:space="preserve"> careful listing of all donors and their donations is kept (the GoFundMe campaign will do this automatically, but the list should be kept with respect to </w:t>
      </w:r>
      <w:r w:rsidR="001D2F97">
        <w:rPr>
          <w:rFonts w:ascii="Times New Roman" w:hAnsi="Times New Roman"/>
        </w:rPr>
        <w:t xml:space="preserve">all </w:t>
      </w:r>
      <w:r w:rsidR="00E35222" w:rsidRPr="00ED27E7">
        <w:rPr>
          <w:rFonts w:ascii="Times New Roman" w:hAnsi="Times New Roman"/>
        </w:rPr>
        <w:t xml:space="preserve">donations made by neighbors through the </w:t>
      </w:r>
      <w:r w:rsidR="00B319BC">
        <w:rPr>
          <w:rFonts w:ascii="Times New Roman" w:hAnsi="Times New Roman"/>
        </w:rPr>
        <w:t>[association]</w:t>
      </w:r>
      <w:r w:rsidR="00E35222" w:rsidRPr="00ED27E7">
        <w:rPr>
          <w:rFonts w:ascii="Times New Roman" w:hAnsi="Times New Roman"/>
        </w:rPr>
        <w:t>)</w:t>
      </w:r>
      <w:r w:rsidR="00193B67">
        <w:rPr>
          <w:rFonts w:ascii="Times New Roman" w:hAnsi="Times New Roman"/>
        </w:rPr>
        <w:t>, though anonymous gifts th</w:t>
      </w:r>
      <w:r w:rsidR="00562CEC">
        <w:rPr>
          <w:rFonts w:ascii="Times New Roman" w:hAnsi="Times New Roman"/>
        </w:rPr>
        <w:t>a</w:t>
      </w:r>
      <w:r w:rsidR="00193B67">
        <w:rPr>
          <w:rFonts w:ascii="Times New Roman" w:hAnsi="Times New Roman"/>
        </w:rPr>
        <w:t>t do not exceed $50 made through these funding sources would not be prohibited</w:t>
      </w:r>
      <w:r w:rsidR="00340924">
        <w:rPr>
          <w:rFonts w:ascii="Times New Roman" w:hAnsi="Times New Roman"/>
        </w:rPr>
        <w:t>;</w:t>
      </w:r>
      <w:r w:rsidR="00E35222" w:rsidRPr="00ED27E7">
        <w:rPr>
          <w:rFonts w:ascii="Times New Roman" w:hAnsi="Times New Roman"/>
        </w:rPr>
        <w:t xml:space="preserve"> </w:t>
      </w:r>
    </w:p>
    <w:p w:rsidR="002621E1" w:rsidRDefault="002621E1" w:rsidP="004D2A49">
      <w:pPr>
        <w:pStyle w:val="MediumGrid21"/>
        <w:ind w:right="-270"/>
        <w:jc w:val="both"/>
        <w:rPr>
          <w:rFonts w:ascii="Times New Roman" w:hAnsi="Times New Roman"/>
        </w:rPr>
      </w:pPr>
    </w:p>
    <w:p w:rsidR="003B4F4E" w:rsidRDefault="00E35222" w:rsidP="004D2A49">
      <w:pPr>
        <w:pStyle w:val="MediumGrid21"/>
        <w:ind w:right="-270"/>
        <w:jc w:val="both"/>
        <w:rPr>
          <w:rFonts w:ascii="Times New Roman" w:hAnsi="Times New Roman"/>
        </w:rPr>
      </w:pPr>
      <w:r w:rsidRPr="00ED27E7">
        <w:rPr>
          <w:rFonts w:ascii="Times New Roman" w:hAnsi="Times New Roman"/>
        </w:rPr>
        <w:t>(</w:t>
      </w:r>
      <w:r>
        <w:rPr>
          <w:rFonts w:ascii="Times New Roman" w:hAnsi="Times New Roman"/>
        </w:rPr>
        <w:t>v</w:t>
      </w:r>
      <w:r w:rsidRPr="00ED27E7">
        <w:rPr>
          <w:rFonts w:ascii="Times New Roman" w:hAnsi="Times New Roman"/>
        </w:rPr>
        <w:t xml:space="preserve">) </w:t>
      </w:r>
      <w:r w:rsidR="002A1F0B">
        <w:rPr>
          <w:rFonts w:ascii="Times New Roman" w:hAnsi="Times New Roman"/>
        </w:rPr>
        <w:t>N</w:t>
      </w:r>
      <w:r w:rsidRPr="00ED27E7">
        <w:rPr>
          <w:rFonts w:ascii="Times New Roman" w:hAnsi="Times New Roman"/>
        </w:rPr>
        <w:t xml:space="preserve">o donation </w:t>
      </w:r>
      <w:r w:rsidR="004B65F4">
        <w:rPr>
          <w:rFonts w:ascii="Times New Roman" w:hAnsi="Times New Roman"/>
        </w:rPr>
        <w:t>may be</w:t>
      </w:r>
      <w:r w:rsidRPr="00ED27E7">
        <w:rPr>
          <w:rFonts w:ascii="Times New Roman" w:hAnsi="Times New Roman"/>
        </w:rPr>
        <w:t xml:space="preserve"> made or accepted based on an explicit or implicit mutual understanding that</w:t>
      </w:r>
      <w:r w:rsidRPr="00422254">
        <w:rPr>
          <w:rFonts w:ascii="Times New Roman" w:hAnsi="Times New Roman"/>
        </w:rPr>
        <w:t xml:space="preserve"> </w:t>
      </w:r>
      <w:r>
        <w:rPr>
          <w:rFonts w:ascii="Times New Roman" w:hAnsi="Times New Roman"/>
        </w:rPr>
        <w:t xml:space="preserve">any </w:t>
      </w:r>
      <w:r w:rsidRPr="00ED27E7">
        <w:rPr>
          <w:rFonts w:ascii="Times New Roman" w:hAnsi="Times New Roman"/>
        </w:rPr>
        <w:t xml:space="preserve">votes, decisions or actions concerning City business </w:t>
      </w:r>
      <w:r>
        <w:rPr>
          <w:rFonts w:ascii="Times New Roman" w:hAnsi="Times New Roman"/>
        </w:rPr>
        <w:t xml:space="preserve">made by </w:t>
      </w:r>
      <w:r w:rsidR="00B319BC">
        <w:rPr>
          <w:rFonts w:ascii="Times New Roman" w:hAnsi="Times New Roman"/>
        </w:rPr>
        <w:t>E</w:t>
      </w:r>
      <w:r>
        <w:rPr>
          <w:rFonts w:ascii="Times New Roman" w:hAnsi="Times New Roman"/>
        </w:rPr>
        <w:t xml:space="preserve">, </w:t>
      </w:r>
      <w:r w:rsidRPr="00ED27E7">
        <w:rPr>
          <w:rFonts w:ascii="Times New Roman" w:hAnsi="Times New Roman"/>
        </w:rPr>
        <w:t>or any other employee of your office</w:t>
      </w:r>
      <w:r>
        <w:rPr>
          <w:rFonts w:ascii="Times New Roman" w:hAnsi="Times New Roman"/>
        </w:rPr>
        <w:t xml:space="preserve"> or any other City employee or official,</w:t>
      </w:r>
      <w:r w:rsidRPr="00ED27E7">
        <w:rPr>
          <w:rFonts w:ascii="Times New Roman" w:hAnsi="Times New Roman"/>
        </w:rPr>
        <w:t xml:space="preserve"> would be affected thereby</w:t>
      </w:r>
      <w:r w:rsidR="003B4F4E">
        <w:rPr>
          <w:rFonts w:ascii="Times New Roman" w:hAnsi="Times New Roman"/>
        </w:rPr>
        <w:t>; and</w:t>
      </w:r>
    </w:p>
    <w:p w:rsidR="003B4F4E" w:rsidRDefault="003B4F4E" w:rsidP="004D2A49">
      <w:pPr>
        <w:pStyle w:val="MediumGrid21"/>
        <w:ind w:right="-270"/>
        <w:jc w:val="both"/>
        <w:rPr>
          <w:rFonts w:ascii="Times New Roman" w:hAnsi="Times New Roman"/>
        </w:rPr>
      </w:pPr>
    </w:p>
    <w:p w:rsidR="00E35222" w:rsidRPr="005B2AC4" w:rsidRDefault="003B4F4E" w:rsidP="004D2A49">
      <w:pPr>
        <w:pStyle w:val="MediumGrid21"/>
        <w:ind w:right="-270"/>
        <w:jc w:val="both"/>
        <w:rPr>
          <w:rFonts w:ascii="Times New Roman" w:hAnsi="Times New Roman"/>
        </w:rPr>
      </w:pPr>
      <w:r w:rsidRPr="005B2AC4">
        <w:rPr>
          <w:rFonts w:ascii="Times New Roman" w:hAnsi="Times New Roman"/>
        </w:rPr>
        <w:t xml:space="preserve">(vi) On </w:t>
      </w:r>
      <w:r w:rsidR="00B319BC">
        <w:rPr>
          <w:rFonts w:ascii="Times New Roman" w:hAnsi="Times New Roman"/>
        </w:rPr>
        <w:t xml:space="preserve">E’s </w:t>
      </w:r>
      <w:r w:rsidRPr="005B2AC4">
        <w:rPr>
          <w:rFonts w:ascii="Times New Roman" w:hAnsi="Times New Roman"/>
        </w:rPr>
        <w:t xml:space="preserve">2018 Statement of Financial Interests, </w:t>
      </w:r>
      <w:r w:rsidR="00B319BC">
        <w:rPr>
          <w:rFonts w:ascii="Times New Roman" w:hAnsi="Times New Roman"/>
        </w:rPr>
        <w:t>E d</w:t>
      </w:r>
      <w:r w:rsidRPr="005B2AC4">
        <w:rPr>
          <w:rFonts w:ascii="Times New Roman" w:hAnsi="Times New Roman"/>
        </w:rPr>
        <w:t xml:space="preserve">iscloses the name of any donor from whom </w:t>
      </w:r>
      <w:proofErr w:type="spellStart"/>
      <w:r w:rsidR="00B319BC">
        <w:rPr>
          <w:rFonts w:ascii="Times New Roman" w:hAnsi="Times New Roman"/>
        </w:rPr>
        <w:t>E</w:t>
      </w:r>
      <w:proofErr w:type="spellEnd"/>
      <w:r w:rsidR="00B319BC">
        <w:rPr>
          <w:rFonts w:ascii="Times New Roman" w:hAnsi="Times New Roman"/>
        </w:rPr>
        <w:t xml:space="preserve"> </w:t>
      </w:r>
      <w:r w:rsidRPr="005B2AC4">
        <w:rPr>
          <w:rFonts w:ascii="Times New Roman" w:hAnsi="Times New Roman"/>
        </w:rPr>
        <w:t xml:space="preserve">receives any combination of gifts that total in excess of $250 in calendar </w:t>
      </w:r>
      <w:r w:rsidR="00E046A4">
        <w:rPr>
          <w:rFonts w:ascii="Times New Roman" w:hAnsi="Times New Roman"/>
        </w:rPr>
        <w:t xml:space="preserve">year </w:t>
      </w:r>
      <w:r w:rsidRPr="005B2AC4">
        <w:rPr>
          <w:rFonts w:ascii="Times New Roman" w:hAnsi="Times New Roman"/>
        </w:rPr>
        <w:t>2017 (except from relatives), pursuant to §2-156-160(a)(8)</w:t>
      </w:r>
      <w:r w:rsidR="00E35222" w:rsidRPr="005B2AC4">
        <w:rPr>
          <w:rFonts w:ascii="Times New Roman" w:hAnsi="Times New Roman"/>
        </w:rPr>
        <w:t xml:space="preserve">. </w:t>
      </w:r>
    </w:p>
    <w:p w:rsidR="005118E8" w:rsidRPr="005049BF" w:rsidRDefault="005118E8" w:rsidP="004D2A49">
      <w:pPr>
        <w:pStyle w:val="MediumGrid21"/>
        <w:ind w:right="-270"/>
        <w:jc w:val="both"/>
        <w:rPr>
          <w:rFonts w:ascii="Times New Roman" w:hAnsi="Times New Roman"/>
        </w:rPr>
      </w:pPr>
    </w:p>
    <w:p w:rsidR="003B4F4E" w:rsidRDefault="00F35634" w:rsidP="004D2A49">
      <w:pPr>
        <w:pStyle w:val="MediumGrid21"/>
        <w:ind w:right="-274"/>
        <w:jc w:val="both"/>
        <w:rPr>
          <w:rFonts w:ascii="Times New Roman" w:hAnsi="Times New Roman"/>
          <w:sz w:val="16"/>
          <w:szCs w:val="16"/>
        </w:rPr>
      </w:pPr>
      <w:r>
        <w:rPr>
          <w:rFonts w:ascii="Times New Roman" w:hAnsi="Times New Roman"/>
        </w:rPr>
        <w:t xml:space="preserve">Our determination is based on the facts presented in this opinion, and covers only the application of the City’s Governmental Ethics Ordinance to these facts. </w:t>
      </w:r>
      <w:r w:rsidR="00C342C3" w:rsidRPr="005049BF">
        <w:rPr>
          <w:rFonts w:ascii="Times New Roman" w:hAnsi="Times New Roman"/>
        </w:rPr>
        <w:t>If the facts change, please advise</w:t>
      </w:r>
      <w:r w:rsidR="00E35222">
        <w:rPr>
          <w:rFonts w:ascii="Times New Roman" w:hAnsi="Times New Roman"/>
        </w:rPr>
        <w:t xml:space="preserve"> us,</w:t>
      </w:r>
      <w:r w:rsidR="00C342C3" w:rsidRPr="005049BF">
        <w:rPr>
          <w:rFonts w:ascii="Times New Roman" w:hAnsi="Times New Roman"/>
        </w:rPr>
        <w:t xml:space="preserve"> as that could change the Board’s determination. </w:t>
      </w:r>
      <w:r w:rsidR="003B4F4E">
        <w:rPr>
          <w:rFonts w:ascii="Times New Roman" w:hAnsi="Times New Roman"/>
        </w:rPr>
        <w:t xml:space="preserve">As required by </w:t>
      </w:r>
      <w:r w:rsidR="00E35222">
        <w:rPr>
          <w:rFonts w:ascii="Times New Roman" w:hAnsi="Times New Roman"/>
        </w:rPr>
        <w:t xml:space="preserve">our Rules and Regulations, we are </w:t>
      </w:r>
      <w:r w:rsidR="009C1474">
        <w:rPr>
          <w:rFonts w:ascii="Times New Roman" w:hAnsi="Times New Roman"/>
        </w:rPr>
        <w:t xml:space="preserve">also </w:t>
      </w:r>
      <w:r w:rsidR="00E35222">
        <w:rPr>
          <w:rFonts w:ascii="Times New Roman" w:hAnsi="Times New Roman"/>
        </w:rPr>
        <w:t xml:space="preserve">sending a copy of this </w:t>
      </w:r>
      <w:r w:rsidR="009C1474">
        <w:rPr>
          <w:rFonts w:ascii="Times New Roman" w:hAnsi="Times New Roman"/>
        </w:rPr>
        <w:t xml:space="preserve">advisory </w:t>
      </w:r>
      <w:r w:rsidR="00E35222">
        <w:rPr>
          <w:rFonts w:ascii="Times New Roman" w:hAnsi="Times New Roman"/>
        </w:rPr>
        <w:t xml:space="preserve">opinion to </w:t>
      </w:r>
      <w:r w:rsidR="00B319BC">
        <w:rPr>
          <w:rFonts w:ascii="Times New Roman" w:hAnsi="Times New Roman"/>
        </w:rPr>
        <w:t>E</w:t>
      </w:r>
      <w:r w:rsidR="00E35222">
        <w:rPr>
          <w:rFonts w:ascii="Times New Roman" w:hAnsi="Times New Roman"/>
        </w:rPr>
        <w:t>.</w:t>
      </w:r>
      <w:r w:rsidR="004C3266">
        <w:rPr>
          <w:rFonts w:ascii="Times New Roman" w:hAnsi="Times New Roman"/>
        </w:rPr>
        <w:t xml:space="preserve"> </w:t>
      </w:r>
      <w:r w:rsidR="00F75941">
        <w:rPr>
          <w:rFonts w:ascii="Times New Roman" w:hAnsi="Times New Roman"/>
        </w:rPr>
        <w:t>We also remind you that other laws and concerns may apply here.</w:t>
      </w:r>
      <w:r w:rsidR="005B2AC4">
        <w:rPr>
          <w:rStyle w:val="FootnoteReference"/>
          <w:rFonts w:ascii="Times New Roman" w:hAnsi="Times New Roman"/>
        </w:rPr>
        <w:footnoteReference w:id="9"/>
      </w:r>
      <w:r w:rsidR="00F75941" w:rsidRPr="00F75941">
        <w:rPr>
          <w:rFonts w:ascii="Times New Roman" w:hAnsi="Times New Roman"/>
          <w:sz w:val="16"/>
          <w:szCs w:val="16"/>
        </w:rPr>
        <w:t xml:space="preserve"> </w:t>
      </w:r>
    </w:p>
    <w:p w:rsidR="005B2AC4" w:rsidRDefault="005B2AC4" w:rsidP="004D2A49">
      <w:pPr>
        <w:pStyle w:val="MediumGrid21"/>
        <w:ind w:right="-274"/>
        <w:jc w:val="both"/>
        <w:rPr>
          <w:rFonts w:ascii="Times New Roman" w:hAnsi="Times New Roman"/>
        </w:rPr>
      </w:pPr>
    </w:p>
    <w:p w:rsidR="004B65F4" w:rsidRDefault="003B4F4E" w:rsidP="004D2A49">
      <w:pPr>
        <w:pStyle w:val="MediumGrid21"/>
        <w:ind w:right="-274"/>
        <w:jc w:val="both"/>
        <w:rPr>
          <w:rFonts w:ascii="Times New Roman" w:hAnsi="Times New Roman"/>
        </w:rPr>
      </w:pPr>
      <w:r w:rsidRPr="003B4F4E">
        <w:rPr>
          <w:rFonts w:ascii="Times New Roman" w:hAnsi="Times New Roman"/>
          <w:b/>
          <w:u w:val="single"/>
        </w:rPr>
        <w:t>Reliance.</w:t>
      </w:r>
      <w:r>
        <w:rPr>
          <w:rFonts w:ascii="Times New Roman" w:hAnsi="Times New Roman"/>
        </w:rPr>
        <w:t xml:space="preserve">  </w:t>
      </w:r>
      <w:r w:rsidR="00E35222">
        <w:rPr>
          <w:rFonts w:ascii="Times New Roman" w:hAnsi="Times New Roman"/>
        </w:rPr>
        <w:t>Either of you</w:t>
      </w:r>
      <w:r w:rsidR="00C342C3" w:rsidRPr="005049BF">
        <w:rPr>
          <w:rFonts w:ascii="Times New Roman" w:hAnsi="Times New Roman"/>
        </w:rPr>
        <w:t xml:space="preserve"> may rely on the advice given in this advisory opinion. </w:t>
      </w:r>
      <w:r w:rsidR="009C1474">
        <w:rPr>
          <w:rFonts w:ascii="Times New Roman" w:hAnsi="Times New Roman"/>
        </w:rPr>
        <w:t xml:space="preserve"> </w:t>
      </w:r>
      <w:r w:rsidR="00E35222">
        <w:rPr>
          <w:rFonts w:ascii="Times New Roman" w:hAnsi="Times New Roman"/>
        </w:rPr>
        <w:t>Should</w:t>
      </w:r>
      <w:r w:rsidR="00C342C3" w:rsidRPr="005049BF">
        <w:rPr>
          <w:rFonts w:ascii="Times New Roman" w:hAnsi="Times New Roman"/>
        </w:rPr>
        <w:t xml:space="preserve"> you desire a reconsideration of the Board’s determination, </w:t>
      </w:r>
      <w:r w:rsidR="00C9661E">
        <w:rPr>
          <w:rFonts w:ascii="Times New Roman" w:hAnsi="Times New Roman"/>
        </w:rPr>
        <w:t>please</w:t>
      </w:r>
      <w:r w:rsidR="00755C04">
        <w:rPr>
          <w:rFonts w:ascii="Times New Roman" w:hAnsi="Times New Roman"/>
        </w:rPr>
        <w:t xml:space="preserve"> notify us in writing</w:t>
      </w:r>
      <w:r w:rsidR="004B65F4">
        <w:rPr>
          <w:rFonts w:ascii="Times New Roman" w:hAnsi="Times New Roman"/>
        </w:rPr>
        <w:t xml:space="preserve"> within 14 days, that is, by</w:t>
      </w:r>
      <w:r w:rsidR="00B319BC">
        <w:rPr>
          <w:rFonts w:ascii="Times New Roman" w:hAnsi="Times New Roman"/>
        </w:rPr>
        <w:t xml:space="preserve"> [date], </w:t>
      </w:r>
      <w:r w:rsidR="00C342C3" w:rsidRPr="005049BF">
        <w:rPr>
          <w:rFonts w:ascii="Times New Roman" w:hAnsi="Times New Roman"/>
        </w:rPr>
        <w:t xml:space="preserve">explaining </w:t>
      </w:r>
      <w:r w:rsidR="004B65F4">
        <w:rPr>
          <w:rFonts w:ascii="Times New Roman" w:hAnsi="Times New Roman"/>
        </w:rPr>
        <w:t xml:space="preserve">any </w:t>
      </w:r>
      <w:r w:rsidR="00C342C3" w:rsidRPr="005049BF">
        <w:rPr>
          <w:rFonts w:ascii="Times New Roman" w:hAnsi="Times New Roman"/>
        </w:rPr>
        <w:t xml:space="preserve">material facts or circumstances that were not before </w:t>
      </w:r>
      <w:r w:rsidR="00E046A4">
        <w:rPr>
          <w:rFonts w:ascii="Times New Roman" w:hAnsi="Times New Roman"/>
        </w:rPr>
        <w:t xml:space="preserve">the </w:t>
      </w:r>
      <w:r w:rsidR="00755C04">
        <w:rPr>
          <w:rFonts w:ascii="Times New Roman" w:hAnsi="Times New Roman"/>
        </w:rPr>
        <w:t>Board when it deliberated on this</w:t>
      </w:r>
      <w:r w:rsidR="00C342C3" w:rsidRPr="005049BF">
        <w:rPr>
          <w:rFonts w:ascii="Times New Roman" w:hAnsi="Times New Roman"/>
        </w:rPr>
        <w:t xml:space="preserve"> opinion.</w:t>
      </w:r>
      <w:r>
        <w:rPr>
          <w:rFonts w:ascii="Times New Roman" w:hAnsi="Times New Roman"/>
        </w:rPr>
        <w:t xml:space="preserve"> </w:t>
      </w:r>
    </w:p>
    <w:p w:rsidR="00B047B2" w:rsidRDefault="00B047B2" w:rsidP="004D2A49">
      <w:pPr>
        <w:pStyle w:val="MediumGrid21"/>
        <w:ind w:right="-274"/>
        <w:jc w:val="both"/>
        <w:rPr>
          <w:rFonts w:ascii="Times New Roman" w:hAnsi="Times New Roman"/>
        </w:rPr>
      </w:pPr>
    </w:p>
    <w:p w:rsidR="00C342C3" w:rsidRDefault="003B4F4E" w:rsidP="004D2A49">
      <w:pPr>
        <w:pStyle w:val="MediumGrid21"/>
        <w:ind w:right="-274"/>
        <w:jc w:val="both"/>
        <w:rPr>
          <w:rFonts w:ascii="Times New Roman" w:hAnsi="Times New Roman"/>
        </w:rPr>
      </w:pPr>
      <w:r>
        <w:rPr>
          <w:rFonts w:ascii="Times New Roman" w:hAnsi="Times New Roman"/>
        </w:rPr>
        <w:t>We also remind you, and anyone who reads this opinion in its redacted form, that an advisory opinion we issue for one case is not a sufficient basis for inferring legal permissibility or impermissibility of conduct in other case</w:t>
      </w:r>
      <w:r w:rsidR="004B65F4">
        <w:rPr>
          <w:rFonts w:ascii="Times New Roman" w:hAnsi="Times New Roman"/>
        </w:rPr>
        <w:t>s</w:t>
      </w:r>
      <w:r>
        <w:rPr>
          <w:rFonts w:ascii="Times New Roman" w:hAnsi="Times New Roman"/>
        </w:rPr>
        <w:t xml:space="preserve">, even though </w:t>
      </w:r>
      <w:r w:rsidR="004B65F4">
        <w:rPr>
          <w:rFonts w:ascii="Times New Roman" w:hAnsi="Times New Roman"/>
        </w:rPr>
        <w:t xml:space="preserve">the </w:t>
      </w:r>
      <w:r>
        <w:rPr>
          <w:rFonts w:ascii="Times New Roman" w:hAnsi="Times New Roman"/>
        </w:rPr>
        <w:t>case</w:t>
      </w:r>
      <w:r w:rsidR="004B65F4">
        <w:rPr>
          <w:rFonts w:ascii="Times New Roman" w:hAnsi="Times New Roman"/>
        </w:rPr>
        <w:t>s</w:t>
      </w:r>
      <w:r>
        <w:rPr>
          <w:rFonts w:ascii="Times New Roman" w:hAnsi="Times New Roman"/>
        </w:rPr>
        <w:t xml:space="preserve"> may be similar in some respects.  This opinion is based on and limited to the specific set of facts and circumstances described above. </w:t>
      </w:r>
      <w:r w:rsidR="004B65F4">
        <w:rPr>
          <w:rFonts w:ascii="Times New Roman" w:hAnsi="Times New Roman"/>
          <w:i/>
        </w:rPr>
        <w:t>Cf.</w:t>
      </w:r>
      <w:r w:rsidRPr="003B4F4E">
        <w:rPr>
          <w:rFonts w:ascii="Times New Roman" w:hAnsi="Times New Roman"/>
          <w:i/>
        </w:rPr>
        <w:t>, e.g.,</w:t>
      </w:r>
      <w:r>
        <w:rPr>
          <w:rFonts w:ascii="Times New Roman" w:hAnsi="Times New Roman"/>
        </w:rPr>
        <w:t xml:space="preserve"> Case No. 90040.A</w:t>
      </w:r>
      <w:r w:rsidR="004B65F4">
        <w:rPr>
          <w:rFonts w:ascii="Times New Roman" w:hAnsi="Times New Roman"/>
        </w:rPr>
        <w:t>.</w:t>
      </w:r>
    </w:p>
    <w:p w:rsidR="0051346B" w:rsidRDefault="0051346B" w:rsidP="004D2A49">
      <w:pPr>
        <w:pStyle w:val="MediumGrid21"/>
        <w:ind w:right="-270"/>
        <w:jc w:val="both"/>
        <w:rPr>
          <w:rFonts w:ascii="Times New Roman" w:hAnsi="Times New Roman"/>
        </w:rPr>
      </w:pPr>
    </w:p>
    <w:p w:rsidR="0051346B" w:rsidRPr="005049BF" w:rsidRDefault="0051346B" w:rsidP="004D2A49">
      <w:pPr>
        <w:pStyle w:val="MediumGrid21"/>
        <w:ind w:right="-270"/>
        <w:jc w:val="both"/>
        <w:rPr>
          <w:rFonts w:ascii="Times New Roman" w:hAnsi="Times New Roman"/>
        </w:rPr>
      </w:pPr>
      <w:r>
        <w:rPr>
          <w:rFonts w:ascii="Times New Roman" w:hAnsi="Times New Roman"/>
        </w:rPr>
        <w:t>On behalf of the Board</w:t>
      </w:r>
      <w:r w:rsidR="00BC1786">
        <w:rPr>
          <w:rFonts w:ascii="Times New Roman" w:hAnsi="Times New Roman"/>
        </w:rPr>
        <w:t xml:space="preserve"> and staff</w:t>
      </w:r>
      <w:r>
        <w:rPr>
          <w:rFonts w:ascii="Times New Roman" w:hAnsi="Times New Roman"/>
        </w:rPr>
        <w:t>, I extend condolences to</w:t>
      </w:r>
      <w:r w:rsidR="00B319BC">
        <w:rPr>
          <w:rFonts w:ascii="Times New Roman" w:hAnsi="Times New Roman"/>
        </w:rPr>
        <w:t xml:space="preserve"> E and E’s child</w:t>
      </w:r>
      <w:r w:rsidR="00BC1786">
        <w:rPr>
          <w:rFonts w:ascii="Times New Roman" w:hAnsi="Times New Roman"/>
        </w:rPr>
        <w:t>,</w:t>
      </w:r>
      <w:r>
        <w:rPr>
          <w:rFonts w:ascii="Times New Roman" w:hAnsi="Times New Roman"/>
        </w:rPr>
        <w:t xml:space="preserve"> and </w:t>
      </w:r>
      <w:r w:rsidR="00B319BC">
        <w:rPr>
          <w:rFonts w:ascii="Times New Roman" w:hAnsi="Times New Roman"/>
        </w:rPr>
        <w:t>E’s an</w:t>
      </w:r>
      <w:r>
        <w:rPr>
          <w:rFonts w:ascii="Times New Roman" w:hAnsi="Times New Roman"/>
        </w:rPr>
        <w:t xml:space="preserve">d </w:t>
      </w:r>
      <w:r w:rsidR="00B319BC">
        <w:rPr>
          <w:rFonts w:ascii="Times New Roman" w:hAnsi="Times New Roman"/>
        </w:rPr>
        <w:t xml:space="preserve">E’s late covered relative’s                </w:t>
      </w:r>
      <w:r>
        <w:rPr>
          <w:rFonts w:ascii="Times New Roman" w:hAnsi="Times New Roman"/>
        </w:rPr>
        <w:t>entire family.</w:t>
      </w:r>
    </w:p>
    <w:p w:rsidR="00C634F4" w:rsidRPr="005049BF" w:rsidRDefault="00C634F4" w:rsidP="004D2A49">
      <w:pPr>
        <w:pStyle w:val="MediumGrid21"/>
        <w:ind w:right="-270"/>
        <w:jc w:val="both"/>
        <w:rPr>
          <w:rFonts w:ascii="Times New Roman" w:hAnsi="Times New Roman"/>
        </w:rPr>
      </w:pPr>
    </w:p>
    <w:p w:rsidR="00B319BC" w:rsidRDefault="00C634F4" w:rsidP="004D2A49">
      <w:pPr>
        <w:pStyle w:val="MediumGrid21"/>
        <w:ind w:right="-270"/>
        <w:jc w:val="both"/>
        <w:rPr>
          <w:rFonts w:ascii="Times New Roman" w:hAnsi="Times New Roman"/>
        </w:rPr>
      </w:pPr>
      <w:r w:rsidRPr="005049BF">
        <w:rPr>
          <w:rFonts w:ascii="Times New Roman" w:hAnsi="Times New Roman"/>
        </w:rPr>
        <w:t>Sincerely,</w:t>
      </w:r>
    </w:p>
    <w:p w:rsidR="00D27336" w:rsidRDefault="00D27336" w:rsidP="004D2A49">
      <w:pPr>
        <w:pStyle w:val="MediumGrid21"/>
        <w:ind w:right="-270"/>
        <w:jc w:val="both"/>
        <w:rPr>
          <w:rFonts w:ascii="Times New Roman" w:hAnsi="Times New Roman"/>
        </w:rPr>
      </w:pPr>
    </w:p>
    <w:p w:rsidR="00D27336" w:rsidRDefault="00D27336" w:rsidP="004D2A49">
      <w:pPr>
        <w:pStyle w:val="MediumGrid21"/>
        <w:ind w:right="-270"/>
        <w:jc w:val="both"/>
        <w:rPr>
          <w:rFonts w:ascii="Times New Roman" w:hAnsi="Times New Roman"/>
        </w:rPr>
      </w:pPr>
    </w:p>
    <w:p w:rsidR="00C634F4" w:rsidRPr="005049BF" w:rsidRDefault="00C634F4" w:rsidP="004D2A49">
      <w:pPr>
        <w:pStyle w:val="MediumGrid21"/>
        <w:ind w:right="-270"/>
        <w:jc w:val="both"/>
        <w:rPr>
          <w:rFonts w:ascii="Times New Roman" w:hAnsi="Times New Roman"/>
        </w:rPr>
      </w:pPr>
      <w:r w:rsidRPr="005049BF">
        <w:rPr>
          <w:rFonts w:ascii="Times New Roman" w:hAnsi="Times New Roman"/>
        </w:rPr>
        <w:t>William F. Conlon, Chair</w:t>
      </w:r>
    </w:p>
    <w:sectPr w:rsidR="00C634F4" w:rsidRPr="005049BF" w:rsidSect="00D5328C">
      <w:headerReference w:type="even" r:id="rId10"/>
      <w:headerReference w:type="default" r:id="rId11"/>
      <w:footerReference w:type="default" r:id="rId12"/>
      <w:footerReference w:type="first" r:id="rId13"/>
      <w:pgSz w:w="12240" w:h="15840"/>
      <w:pgMar w:top="1008" w:right="1008" w:bottom="864" w:left="864"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7A" w:rsidRDefault="00F9337A" w:rsidP="006425D4">
      <w:pPr>
        <w:spacing w:after="0" w:line="240" w:lineRule="auto"/>
      </w:pPr>
      <w:r>
        <w:separator/>
      </w:r>
    </w:p>
  </w:endnote>
  <w:endnote w:type="continuationSeparator" w:id="0">
    <w:p w:rsidR="00F9337A" w:rsidRDefault="00F9337A" w:rsidP="0064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86" w:rsidRPr="00E046A4" w:rsidRDefault="00BC1786">
    <w:pPr>
      <w:pStyle w:val="Footer"/>
      <w:jc w:val="center"/>
      <w:rPr>
        <w:rFonts w:ascii="Times New Roman" w:hAnsi="Times New Roman"/>
        <w:sz w:val="20"/>
        <w:szCs w:val="20"/>
      </w:rPr>
    </w:pPr>
    <w:r w:rsidRPr="00E046A4">
      <w:rPr>
        <w:rFonts w:ascii="Times New Roman" w:hAnsi="Times New Roman"/>
        <w:sz w:val="20"/>
        <w:szCs w:val="20"/>
      </w:rPr>
      <w:fldChar w:fldCharType="begin"/>
    </w:r>
    <w:r w:rsidRPr="00E046A4">
      <w:rPr>
        <w:rFonts w:ascii="Times New Roman" w:hAnsi="Times New Roman"/>
        <w:sz w:val="20"/>
        <w:szCs w:val="20"/>
      </w:rPr>
      <w:instrText xml:space="preserve"> PAGE   \* MERGEFORMAT </w:instrText>
    </w:r>
    <w:r w:rsidRPr="00E046A4">
      <w:rPr>
        <w:rFonts w:ascii="Times New Roman" w:hAnsi="Times New Roman"/>
        <w:sz w:val="20"/>
        <w:szCs w:val="20"/>
      </w:rPr>
      <w:fldChar w:fldCharType="separate"/>
    </w:r>
    <w:r w:rsidR="00C95ABB">
      <w:rPr>
        <w:rFonts w:ascii="Times New Roman" w:hAnsi="Times New Roman"/>
        <w:noProof/>
        <w:sz w:val="20"/>
        <w:szCs w:val="20"/>
      </w:rPr>
      <w:t>4</w:t>
    </w:r>
    <w:r w:rsidRPr="00E046A4">
      <w:rPr>
        <w:rFonts w:ascii="Times New Roman" w:hAnsi="Times New Roman"/>
        <w:noProof/>
        <w:sz w:val="20"/>
        <w:szCs w:val="20"/>
      </w:rPr>
      <w:fldChar w:fldCharType="end"/>
    </w:r>
  </w:p>
  <w:p w:rsidR="00BC1786" w:rsidRDefault="00BC1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902089443"/>
      <w:docPartObj>
        <w:docPartGallery w:val="Page Numbers (Bottom of Page)"/>
        <w:docPartUnique/>
      </w:docPartObj>
    </w:sdtPr>
    <w:sdtEndPr>
      <w:rPr>
        <w:noProof/>
        <w:sz w:val="18"/>
        <w:szCs w:val="18"/>
      </w:rPr>
    </w:sdtEndPr>
    <w:sdtContent>
      <w:p w:rsidR="002A7214" w:rsidRPr="00D5328C" w:rsidRDefault="002A7214">
        <w:pPr>
          <w:pStyle w:val="Footer"/>
          <w:jc w:val="center"/>
          <w:rPr>
            <w:rFonts w:ascii="Times New Roman" w:hAnsi="Times New Roman"/>
            <w:sz w:val="18"/>
            <w:szCs w:val="18"/>
          </w:rPr>
        </w:pPr>
        <w:r w:rsidRPr="00D5328C">
          <w:rPr>
            <w:rFonts w:ascii="Times New Roman" w:hAnsi="Times New Roman"/>
            <w:sz w:val="18"/>
            <w:szCs w:val="18"/>
          </w:rPr>
          <w:fldChar w:fldCharType="begin"/>
        </w:r>
        <w:r w:rsidRPr="00D5328C">
          <w:rPr>
            <w:rFonts w:ascii="Times New Roman" w:hAnsi="Times New Roman"/>
            <w:sz w:val="18"/>
            <w:szCs w:val="18"/>
          </w:rPr>
          <w:instrText xml:space="preserve"> PAGE   \* MERGEFORMAT </w:instrText>
        </w:r>
        <w:r w:rsidRPr="00D5328C">
          <w:rPr>
            <w:rFonts w:ascii="Times New Roman" w:hAnsi="Times New Roman"/>
            <w:sz w:val="18"/>
            <w:szCs w:val="18"/>
          </w:rPr>
          <w:fldChar w:fldCharType="separate"/>
        </w:r>
        <w:r w:rsidR="00C95ABB">
          <w:rPr>
            <w:rFonts w:ascii="Times New Roman" w:hAnsi="Times New Roman"/>
            <w:noProof/>
            <w:sz w:val="18"/>
            <w:szCs w:val="18"/>
          </w:rPr>
          <w:t>1</w:t>
        </w:r>
        <w:r w:rsidRPr="00D5328C">
          <w:rPr>
            <w:rFonts w:ascii="Times New Roman" w:hAnsi="Times New Roman"/>
            <w:noProof/>
            <w:sz w:val="18"/>
            <w:szCs w:val="18"/>
          </w:rPr>
          <w:fldChar w:fldCharType="end"/>
        </w:r>
      </w:p>
    </w:sdtContent>
  </w:sdt>
  <w:p w:rsidR="002A7214" w:rsidRDefault="002A7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7A" w:rsidRDefault="00F9337A" w:rsidP="006425D4">
      <w:pPr>
        <w:spacing w:after="0" w:line="240" w:lineRule="auto"/>
      </w:pPr>
      <w:r>
        <w:separator/>
      </w:r>
    </w:p>
  </w:footnote>
  <w:footnote w:type="continuationSeparator" w:id="0">
    <w:p w:rsidR="00F9337A" w:rsidRDefault="00F9337A" w:rsidP="006425D4">
      <w:pPr>
        <w:spacing w:after="0" w:line="240" w:lineRule="auto"/>
      </w:pPr>
      <w:r>
        <w:continuationSeparator/>
      </w:r>
    </w:p>
  </w:footnote>
  <w:footnote w:id="1">
    <w:p w:rsidR="005573A9" w:rsidRPr="00B17333" w:rsidRDefault="004B2E7F" w:rsidP="00CB2EBA">
      <w:pPr>
        <w:pStyle w:val="FootnoteText"/>
        <w:spacing w:after="0" w:line="240" w:lineRule="auto"/>
        <w:jc w:val="both"/>
        <w:rPr>
          <w:rFonts w:ascii="Times New Roman" w:hAnsi="Times New Roman"/>
          <w:sz w:val="16"/>
          <w:szCs w:val="16"/>
        </w:rPr>
      </w:pPr>
      <w:r w:rsidRPr="00B17333">
        <w:rPr>
          <w:rStyle w:val="FootnoteReference"/>
          <w:rFonts w:ascii="Times New Roman" w:hAnsi="Times New Roman"/>
        </w:rPr>
        <w:footnoteRef/>
      </w:r>
      <w:r w:rsidRPr="00B17333">
        <w:rPr>
          <w:rFonts w:ascii="Times New Roman" w:hAnsi="Times New Roman"/>
        </w:rPr>
        <w:t xml:space="preserve"> </w:t>
      </w:r>
      <w:r w:rsidRPr="00B17333">
        <w:rPr>
          <w:rFonts w:ascii="Times New Roman" w:hAnsi="Times New Roman"/>
          <w:sz w:val="16"/>
          <w:szCs w:val="16"/>
        </w:rPr>
        <w:t>Our staff also noticed that</w:t>
      </w:r>
      <w:r w:rsidR="000C1B8C">
        <w:rPr>
          <w:rFonts w:ascii="Times New Roman" w:hAnsi="Times New Roman"/>
          <w:sz w:val="16"/>
          <w:szCs w:val="16"/>
        </w:rPr>
        <w:t xml:space="preserve"> [another fund]                                     </w:t>
      </w:r>
      <w:r w:rsidRPr="00B17333">
        <w:rPr>
          <w:rFonts w:ascii="Times New Roman" w:hAnsi="Times New Roman"/>
          <w:sz w:val="16"/>
          <w:szCs w:val="16"/>
        </w:rPr>
        <w:t xml:space="preserve">was established by </w:t>
      </w:r>
      <w:r w:rsidR="000C1B8C">
        <w:rPr>
          <w:rFonts w:ascii="Times New Roman" w:hAnsi="Times New Roman"/>
          <w:sz w:val="16"/>
          <w:szCs w:val="16"/>
        </w:rPr>
        <w:t xml:space="preserve">[a religious organization]     </w:t>
      </w:r>
      <w:r w:rsidRPr="00B17333">
        <w:rPr>
          <w:rFonts w:ascii="Times New Roman" w:hAnsi="Times New Roman"/>
          <w:sz w:val="16"/>
          <w:szCs w:val="16"/>
        </w:rPr>
        <w:t xml:space="preserve"> in order to support </w:t>
      </w:r>
      <w:r w:rsidR="000C1B8C">
        <w:rPr>
          <w:rFonts w:ascii="Times New Roman" w:hAnsi="Times New Roman"/>
          <w:sz w:val="16"/>
          <w:szCs w:val="16"/>
        </w:rPr>
        <w:t xml:space="preserve">E.                        </w:t>
      </w:r>
      <w:r w:rsidRPr="00B17333">
        <w:rPr>
          <w:rFonts w:ascii="Times New Roman" w:hAnsi="Times New Roman"/>
          <w:sz w:val="16"/>
          <w:szCs w:val="16"/>
        </w:rPr>
        <w:t xml:space="preserve"> The same analysis and determinations we make with respect to the </w:t>
      </w:r>
      <w:r w:rsidR="000C1B8C">
        <w:rPr>
          <w:rFonts w:ascii="Times New Roman" w:hAnsi="Times New Roman"/>
          <w:sz w:val="16"/>
          <w:szCs w:val="16"/>
        </w:rPr>
        <w:t xml:space="preserve">[association]                 </w:t>
      </w:r>
      <w:r w:rsidR="00CB2EBA" w:rsidRPr="00B17333">
        <w:rPr>
          <w:rFonts w:ascii="Times New Roman" w:hAnsi="Times New Roman"/>
          <w:sz w:val="16"/>
          <w:szCs w:val="16"/>
        </w:rPr>
        <w:t xml:space="preserve">and GoFundMe page, explained below, apply to this </w:t>
      </w:r>
      <w:r w:rsidR="000C1B8C">
        <w:rPr>
          <w:rFonts w:ascii="Times New Roman" w:hAnsi="Times New Roman"/>
          <w:sz w:val="16"/>
          <w:szCs w:val="16"/>
        </w:rPr>
        <w:t>f</w:t>
      </w:r>
      <w:r w:rsidR="00CB2EBA" w:rsidRPr="00B17333">
        <w:rPr>
          <w:rFonts w:ascii="Times New Roman" w:hAnsi="Times New Roman"/>
          <w:sz w:val="16"/>
          <w:szCs w:val="16"/>
        </w:rPr>
        <w:t>und and its donors.</w:t>
      </w:r>
      <w:r w:rsidR="005573A9" w:rsidRPr="00B17333">
        <w:rPr>
          <w:rFonts w:ascii="Times New Roman" w:hAnsi="Times New Roman"/>
          <w:sz w:val="16"/>
          <w:szCs w:val="16"/>
        </w:rPr>
        <w:t xml:space="preserve"> </w:t>
      </w:r>
      <w:r w:rsidR="000C1B8C">
        <w:rPr>
          <w:rFonts w:ascii="Times New Roman" w:hAnsi="Times New Roman"/>
          <w:sz w:val="16"/>
          <w:szCs w:val="16"/>
        </w:rPr>
        <w:t xml:space="preserve">    </w:t>
      </w:r>
    </w:p>
    <w:p w:rsidR="00CB2EBA" w:rsidRDefault="00CB2EBA" w:rsidP="00CB2EBA">
      <w:pPr>
        <w:pStyle w:val="FootnoteText"/>
        <w:spacing w:after="0" w:line="240" w:lineRule="auto"/>
        <w:jc w:val="both"/>
      </w:pPr>
    </w:p>
  </w:footnote>
  <w:footnote w:id="2">
    <w:p w:rsidR="00897FE1" w:rsidRPr="005049BF" w:rsidRDefault="00897FE1" w:rsidP="004D2A49">
      <w:pPr>
        <w:pStyle w:val="BodyText2"/>
        <w:spacing w:before="0" w:beforeAutospacing="0" w:after="0" w:afterAutospacing="0"/>
        <w:rPr>
          <w:bCs/>
          <w:sz w:val="16"/>
          <w:szCs w:val="16"/>
        </w:rPr>
      </w:pPr>
      <w:r w:rsidRPr="005049BF">
        <w:rPr>
          <w:rStyle w:val="FootnoteReference"/>
          <w:sz w:val="16"/>
          <w:szCs w:val="16"/>
        </w:rPr>
        <w:footnoteRef/>
      </w:r>
      <w:r w:rsidRPr="005049BF">
        <w:rPr>
          <w:sz w:val="16"/>
          <w:szCs w:val="16"/>
        </w:rPr>
        <w:t xml:space="preserve"> </w:t>
      </w:r>
      <w:r w:rsidRPr="005049BF">
        <w:rPr>
          <w:bCs/>
          <w:sz w:val="16"/>
          <w:szCs w:val="16"/>
        </w:rPr>
        <w:t>The Ordinance</w:t>
      </w:r>
      <w:r w:rsidR="00F706BF">
        <w:rPr>
          <w:bCs/>
          <w:sz w:val="16"/>
          <w:szCs w:val="16"/>
        </w:rPr>
        <w:t>’s gift restrictions</w:t>
      </w:r>
      <w:r w:rsidRPr="005049BF">
        <w:rPr>
          <w:bCs/>
          <w:sz w:val="16"/>
          <w:szCs w:val="16"/>
        </w:rPr>
        <w:t xml:space="preserve"> provide, in pertinent part:</w:t>
      </w:r>
    </w:p>
    <w:p w:rsidR="00897FE1" w:rsidRPr="000422A0" w:rsidRDefault="00897FE1" w:rsidP="004D2A49">
      <w:pPr>
        <w:pStyle w:val="BodyText2"/>
        <w:spacing w:before="0" w:beforeAutospacing="0" w:after="0" w:afterAutospacing="0"/>
        <w:rPr>
          <w:sz w:val="16"/>
          <w:szCs w:val="16"/>
        </w:rPr>
      </w:pPr>
    </w:p>
    <w:p w:rsidR="00897FE1" w:rsidRPr="006425D4"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b/>
          <w:bCs/>
          <w:sz w:val="16"/>
          <w:szCs w:val="16"/>
        </w:rPr>
      </w:pPr>
      <w:r w:rsidRPr="000437B1">
        <w:rPr>
          <w:rFonts w:ascii="Times New Roman" w:eastAsia="Times New Roman" w:hAnsi="Times New Roman"/>
          <w:b/>
          <w:bCs/>
          <w:sz w:val="16"/>
          <w:szCs w:val="16"/>
        </w:rPr>
        <w:t>§2-156</w:t>
      </w:r>
      <w:r w:rsidRPr="006425D4">
        <w:rPr>
          <w:rFonts w:ascii="Times New Roman" w:eastAsia="Times New Roman" w:hAnsi="Times New Roman"/>
          <w:b/>
          <w:bCs/>
          <w:sz w:val="16"/>
          <w:szCs w:val="16"/>
        </w:rPr>
        <w:t>-142.  Offering, receiving and soliciting of gifts or favors.</w:t>
      </w:r>
    </w:p>
    <w:p w:rsidR="00897FE1"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line="240" w:lineRule="auto"/>
        <w:jc w:val="both"/>
        <w:rPr>
          <w:rFonts w:ascii="Times New Roman" w:eastAsia="Times New Roman" w:hAnsi="Times New Roman"/>
          <w:sz w:val="16"/>
          <w:szCs w:val="16"/>
        </w:rPr>
      </w:pPr>
      <w:r w:rsidRPr="006425D4">
        <w:rPr>
          <w:rFonts w:ascii="Times New Roman" w:eastAsia="Times New Roman" w:hAnsi="Times New Roman"/>
          <w:sz w:val="16"/>
          <w:szCs w:val="16"/>
        </w:rPr>
        <w:t>(a)(1)</w:t>
      </w:r>
      <w:r w:rsidR="005049BF">
        <w:rPr>
          <w:rFonts w:ascii="Times New Roman" w:eastAsia="Times New Roman" w:hAnsi="Times New Roman"/>
          <w:sz w:val="16"/>
          <w:szCs w:val="16"/>
        </w:rPr>
        <w:t xml:space="preserve"> </w:t>
      </w:r>
      <w:r w:rsidRPr="006425D4">
        <w:rPr>
          <w:rFonts w:ascii="Times New Roman" w:eastAsia="Times New Roman" w:hAnsi="Times New Roman"/>
          <w:sz w:val="16"/>
          <w:szCs w:val="16"/>
        </w:rPr>
        <w:t xml:space="preserve">Except as otherwise provided in this chapter, no city </w:t>
      </w:r>
      <w:r w:rsidR="005049BF">
        <w:rPr>
          <w:rFonts w:ascii="Times New Roman" w:eastAsia="Times New Roman" w:hAnsi="Times New Roman"/>
          <w:sz w:val="16"/>
          <w:szCs w:val="16"/>
        </w:rPr>
        <w:t>…</w:t>
      </w:r>
      <w:r w:rsidRPr="006425D4">
        <w:rPr>
          <w:rFonts w:ascii="Times New Roman" w:eastAsia="Times New Roman" w:hAnsi="Times New Roman"/>
          <w:sz w:val="16"/>
          <w:szCs w:val="16"/>
        </w:rPr>
        <w:t xml:space="preserve"> employee, and, subject to subsection (h) no covered relative, shall</w:t>
      </w:r>
    </w:p>
    <w:p w:rsidR="00897FE1" w:rsidRPr="006425D4"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sz w:val="16"/>
          <w:szCs w:val="16"/>
        </w:rPr>
      </w:pPr>
      <w:r w:rsidRPr="006425D4">
        <w:rPr>
          <w:rFonts w:ascii="Times New Roman" w:eastAsia="Times New Roman" w:hAnsi="Times New Roman"/>
          <w:sz w:val="16"/>
          <w:szCs w:val="16"/>
        </w:rPr>
        <w:t xml:space="preserve">(i) </w:t>
      </w:r>
      <w:r w:rsidR="005D42F8">
        <w:rPr>
          <w:rFonts w:ascii="Times New Roman" w:eastAsia="Times New Roman" w:hAnsi="Times New Roman"/>
          <w:sz w:val="16"/>
          <w:szCs w:val="16"/>
        </w:rPr>
        <w:t xml:space="preserve"> </w:t>
      </w:r>
      <w:r w:rsidRPr="006425D4">
        <w:rPr>
          <w:rFonts w:ascii="Times New Roman" w:eastAsia="Times New Roman" w:hAnsi="Times New Roman"/>
          <w:sz w:val="16"/>
          <w:szCs w:val="16"/>
        </w:rPr>
        <w:t>solicit any gift for himself or any covered relative;</w:t>
      </w:r>
    </w:p>
    <w:p w:rsidR="00897FE1" w:rsidRPr="006425D4"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sz w:val="16"/>
          <w:szCs w:val="16"/>
        </w:rPr>
      </w:pPr>
      <w:r w:rsidRPr="006425D4">
        <w:rPr>
          <w:rFonts w:ascii="Times New Roman" w:eastAsia="Times New Roman" w:hAnsi="Times New Roman"/>
          <w:sz w:val="16"/>
          <w:szCs w:val="16"/>
        </w:rPr>
        <w:t>(ii)</w:t>
      </w:r>
      <w:r w:rsidR="005D42F8">
        <w:rPr>
          <w:rFonts w:ascii="Times New Roman" w:eastAsia="Times New Roman" w:hAnsi="Times New Roman"/>
          <w:sz w:val="16"/>
          <w:szCs w:val="16"/>
        </w:rPr>
        <w:t xml:space="preserve"> </w:t>
      </w:r>
      <w:r w:rsidRPr="006425D4">
        <w:rPr>
          <w:rFonts w:ascii="Times New Roman" w:eastAsia="Times New Roman" w:hAnsi="Times New Roman"/>
          <w:sz w:val="16"/>
          <w:szCs w:val="16"/>
        </w:rPr>
        <w:t>accept any anonymous gift; or</w:t>
      </w:r>
    </w:p>
    <w:p w:rsidR="00897FE1" w:rsidRPr="006425D4"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sz w:val="16"/>
          <w:szCs w:val="16"/>
        </w:rPr>
      </w:pPr>
      <w:r w:rsidRPr="006425D4">
        <w:rPr>
          <w:rFonts w:ascii="Times New Roman" w:eastAsia="Times New Roman" w:hAnsi="Times New Roman"/>
          <w:sz w:val="16"/>
          <w:szCs w:val="16"/>
        </w:rPr>
        <w:t>(iii)</w:t>
      </w:r>
      <w:r w:rsidR="005D42F8">
        <w:rPr>
          <w:rFonts w:ascii="Times New Roman" w:eastAsia="Times New Roman" w:hAnsi="Times New Roman"/>
          <w:sz w:val="16"/>
          <w:szCs w:val="16"/>
        </w:rPr>
        <w:t xml:space="preserve"> </w:t>
      </w:r>
      <w:r w:rsidRPr="006425D4">
        <w:rPr>
          <w:rFonts w:ascii="Times New Roman" w:eastAsia="Times New Roman" w:hAnsi="Times New Roman"/>
          <w:sz w:val="16"/>
          <w:szCs w:val="16"/>
        </w:rPr>
        <w:t>accept any gift of cash, gift card or cash equivalent.</w:t>
      </w:r>
    </w:p>
    <w:p w:rsidR="00897FE1" w:rsidRPr="006425D4"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ind w:hanging="450"/>
        <w:jc w:val="both"/>
        <w:rPr>
          <w:rFonts w:ascii="Times New Roman" w:eastAsia="Times New Roman" w:hAnsi="Times New Roman"/>
          <w:sz w:val="16"/>
          <w:szCs w:val="16"/>
        </w:rPr>
      </w:pPr>
    </w:p>
    <w:p w:rsidR="00897FE1" w:rsidRDefault="005049BF" w:rsidP="004D2A49">
      <w:pPr>
        <w:tabs>
          <w:tab w:val="left" w:pos="630"/>
        </w:tabs>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(2) </w:t>
      </w:r>
      <w:r w:rsidR="00897FE1" w:rsidRPr="006425D4">
        <w:rPr>
          <w:rFonts w:ascii="Times New Roman" w:eastAsia="Times New Roman" w:hAnsi="Times New Roman"/>
          <w:sz w:val="16"/>
          <w:szCs w:val="16"/>
        </w:rPr>
        <w:t>Except as otherwise provided in this chapter, no city</w:t>
      </w:r>
      <w:r>
        <w:rPr>
          <w:rFonts w:ascii="Times New Roman" w:eastAsia="Times New Roman" w:hAnsi="Times New Roman"/>
          <w:sz w:val="16"/>
          <w:szCs w:val="16"/>
        </w:rPr>
        <w:t xml:space="preserve"> …</w:t>
      </w:r>
      <w:r w:rsidR="00897FE1" w:rsidRPr="006425D4">
        <w:rPr>
          <w:rFonts w:ascii="Times New Roman" w:eastAsia="Times New Roman" w:hAnsi="Times New Roman"/>
          <w:sz w:val="16"/>
          <w:szCs w:val="16"/>
        </w:rPr>
        <w:t xml:space="preserve"> employee, and, subject to subsection (h) no covered relative, shall knowingly accept any gift, unless the total value of all gifts given to the official, candidate for city office, employee or covered relative by a single source amounts to no more than $50.00 in a calendar year </w:t>
      </w:r>
      <w:r w:rsidR="00897FE1">
        <w:rPr>
          <w:rFonts w:ascii="Times New Roman" w:eastAsia="Times New Roman" w:hAnsi="Times New Roman"/>
          <w:sz w:val="16"/>
          <w:szCs w:val="16"/>
        </w:rPr>
        <w:t>…</w:t>
      </w:r>
    </w:p>
    <w:p w:rsidR="00897FE1" w:rsidRPr="006425D4" w:rsidRDefault="00897FE1" w:rsidP="004D2A49">
      <w:pPr>
        <w:tabs>
          <w:tab w:val="left" w:pos="630"/>
        </w:tabs>
        <w:spacing w:after="0" w:line="240" w:lineRule="auto"/>
        <w:ind w:hanging="1166"/>
        <w:jc w:val="both"/>
        <w:rPr>
          <w:rFonts w:ascii="Times New Roman" w:eastAsia="Times New Roman" w:hAnsi="Times New Roman"/>
          <w:sz w:val="16"/>
          <w:szCs w:val="16"/>
        </w:rPr>
      </w:pPr>
    </w:p>
    <w:p w:rsidR="005049BF" w:rsidRPr="00C91B49" w:rsidRDefault="00897FE1" w:rsidP="004D2A49">
      <w:pPr>
        <w:pStyle w:val="BodyTextIndent2"/>
        <w:spacing w:after="0" w:line="240" w:lineRule="auto"/>
        <w:ind w:left="0" w:hanging="630"/>
        <w:rPr>
          <w:rFonts w:ascii="Times New Roman" w:hAnsi="Times New Roman"/>
          <w:sz w:val="16"/>
          <w:szCs w:val="16"/>
        </w:rPr>
      </w:pPr>
      <w:r w:rsidDel="005438B9">
        <w:rPr>
          <w:rFonts w:ascii="Times New Roman" w:hAnsi="Times New Roman"/>
          <w:sz w:val="16"/>
          <w:szCs w:val="16"/>
        </w:rPr>
        <w:t xml:space="preserve"> </w:t>
      </w:r>
      <w:r>
        <w:rPr>
          <w:rFonts w:ascii="Times New Roman" w:hAnsi="Times New Roman"/>
          <w:sz w:val="16"/>
          <w:szCs w:val="16"/>
        </w:rPr>
        <w:tab/>
      </w:r>
      <w:r w:rsidRPr="006425D4">
        <w:rPr>
          <w:rFonts w:ascii="Times New Roman" w:hAnsi="Times New Roman"/>
          <w:sz w:val="16"/>
          <w:szCs w:val="16"/>
        </w:rPr>
        <w:t>(d)</w:t>
      </w:r>
      <w:r>
        <w:rPr>
          <w:rFonts w:ascii="Times New Roman" w:hAnsi="Times New Roman"/>
          <w:sz w:val="16"/>
          <w:szCs w:val="16"/>
        </w:rPr>
        <w:t xml:space="preserve">  </w:t>
      </w:r>
      <w:r w:rsidRPr="006425D4">
        <w:rPr>
          <w:rFonts w:ascii="Times New Roman" w:hAnsi="Times New Roman"/>
          <w:sz w:val="16"/>
          <w:szCs w:val="16"/>
        </w:rPr>
        <w:t>The restriction in subsection (a) shall not apply to the following</w:t>
      </w:r>
      <w:r>
        <w:rPr>
          <w:rFonts w:ascii="Times New Roman" w:hAnsi="Times New Roman"/>
          <w:sz w:val="16"/>
          <w:szCs w:val="16"/>
        </w:rPr>
        <w:t xml:space="preserve"> …</w:t>
      </w:r>
    </w:p>
    <w:p w:rsidR="00897FE1" w:rsidRPr="006425D4" w:rsidRDefault="00897FE1" w:rsidP="004D2A49">
      <w:pPr>
        <w:tabs>
          <w:tab w:val="left" w:pos="630"/>
        </w:tabs>
        <w:spacing w:after="0" w:line="240" w:lineRule="auto"/>
        <w:rPr>
          <w:rFonts w:ascii="Times New Roman" w:eastAsia="Times New Roman" w:hAnsi="Times New Roman"/>
          <w:sz w:val="16"/>
          <w:szCs w:val="16"/>
        </w:rPr>
      </w:pPr>
      <w:r w:rsidRPr="006425D4">
        <w:rPr>
          <w:rFonts w:ascii="Times New Roman" w:eastAsia="Times New Roman" w:hAnsi="Times New Roman"/>
          <w:sz w:val="16"/>
          <w:szCs w:val="16"/>
        </w:rPr>
        <w:t>(4)</w:t>
      </w:r>
      <w:r>
        <w:rPr>
          <w:rFonts w:ascii="Times New Roman" w:eastAsia="Times New Roman" w:hAnsi="Times New Roman"/>
          <w:sz w:val="16"/>
          <w:szCs w:val="16"/>
        </w:rPr>
        <w:t xml:space="preserve">  </w:t>
      </w:r>
      <w:r w:rsidRPr="006425D4">
        <w:rPr>
          <w:rFonts w:ascii="Times New Roman" w:eastAsia="Times New Roman" w:hAnsi="Times New Roman"/>
          <w:sz w:val="16"/>
          <w:szCs w:val="16"/>
        </w:rPr>
        <w:t>Any gift from a relative.</w:t>
      </w:r>
    </w:p>
    <w:p w:rsidR="00897FE1" w:rsidRPr="006425D4" w:rsidRDefault="00897FE1" w:rsidP="004D2A49">
      <w:pPr>
        <w:tabs>
          <w:tab w:val="left" w:pos="630"/>
        </w:tabs>
        <w:spacing w:after="0" w:line="240" w:lineRule="auto"/>
        <w:ind w:hanging="1166"/>
        <w:jc w:val="both"/>
        <w:rPr>
          <w:rFonts w:ascii="Times New Roman" w:eastAsia="Times New Roman" w:hAnsi="Times New Roman"/>
          <w:sz w:val="16"/>
          <w:szCs w:val="16"/>
        </w:rPr>
      </w:pPr>
      <w:r w:rsidRPr="006425D4">
        <w:rPr>
          <w:rFonts w:ascii="Times New Roman" w:eastAsia="Times New Roman" w:hAnsi="Times New Roman"/>
          <w:sz w:val="16"/>
          <w:szCs w:val="16"/>
        </w:rPr>
        <w:tab/>
        <w:t>(5)</w:t>
      </w:r>
      <w:r>
        <w:rPr>
          <w:rFonts w:ascii="Times New Roman" w:eastAsia="Times New Roman" w:hAnsi="Times New Roman"/>
          <w:sz w:val="16"/>
          <w:szCs w:val="16"/>
        </w:rPr>
        <w:t xml:space="preserve">  </w:t>
      </w:r>
      <w:r w:rsidRPr="006425D4">
        <w:rPr>
          <w:rFonts w:ascii="Times New Roman" w:eastAsia="Times New Roman" w:hAnsi="Times New Roman"/>
          <w:sz w:val="16"/>
          <w:szCs w:val="16"/>
        </w:rPr>
        <w:t>Any gift from an official superior as the term “official superior” is defined in section 2-156-143 of this chapter.</w:t>
      </w:r>
    </w:p>
    <w:p w:rsidR="00897FE1" w:rsidRDefault="00897FE1" w:rsidP="004D2A49">
      <w:pPr>
        <w:tabs>
          <w:tab w:val="left" w:pos="630"/>
        </w:tabs>
        <w:spacing w:after="0" w:line="240" w:lineRule="auto"/>
        <w:ind w:hanging="2160"/>
        <w:jc w:val="both"/>
        <w:rPr>
          <w:rFonts w:ascii="Times New Roman" w:eastAsia="Times New Roman" w:hAnsi="Times New Roman"/>
          <w:sz w:val="16"/>
          <w:szCs w:val="16"/>
        </w:rPr>
      </w:pPr>
      <w:r w:rsidRPr="006425D4">
        <w:rPr>
          <w:rFonts w:ascii="Times New Roman" w:eastAsia="Times New Roman" w:hAnsi="Times New Roman"/>
          <w:sz w:val="16"/>
          <w:szCs w:val="16"/>
        </w:rPr>
        <w:tab/>
        <w:t>(6)</w:t>
      </w:r>
      <w:r>
        <w:rPr>
          <w:rFonts w:ascii="Times New Roman" w:eastAsia="Times New Roman" w:hAnsi="Times New Roman"/>
          <w:sz w:val="16"/>
          <w:szCs w:val="16"/>
        </w:rPr>
        <w:t xml:space="preserve">  </w:t>
      </w:r>
      <w:r w:rsidRPr="006425D4">
        <w:rPr>
          <w:rFonts w:ascii="Times New Roman" w:eastAsia="Times New Roman" w:hAnsi="Times New Roman"/>
          <w:sz w:val="16"/>
          <w:szCs w:val="16"/>
        </w:rPr>
        <w:t>Any gift from a</w:t>
      </w:r>
      <w:r w:rsidRPr="003672DD">
        <w:rPr>
          <w:rFonts w:ascii="Times New Roman" w:eastAsia="Times New Roman" w:hAnsi="Times New Roman"/>
          <w:sz w:val="16"/>
          <w:szCs w:val="16"/>
        </w:rPr>
        <w:t xml:space="preserve"> personal friend, </w:t>
      </w:r>
      <w:r w:rsidRPr="006425D4">
        <w:rPr>
          <w:rFonts w:ascii="Times New Roman" w:eastAsia="Times New Roman" w:hAnsi="Times New Roman"/>
          <w:sz w:val="16"/>
          <w:szCs w:val="16"/>
        </w:rPr>
        <w:t>unless the official, candidate for city office, or employee has reason to believe that, under the circumstances, the gift was given because of the official position, candidacy or employment of the official, candidate for city office, or employee</w:t>
      </w:r>
      <w:r>
        <w:rPr>
          <w:rFonts w:ascii="Times New Roman" w:eastAsia="Times New Roman" w:hAnsi="Times New Roman"/>
          <w:sz w:val="16"/>
          <w:szCs w:val="16"/>
        </w:rPr>
        <w:t xml:space="preserve"> … </w:t>
      </w:r>
    </w:p>
    <w:p w:rsidR="00897FE1" w:rsidRPr="006425D4" w:rsidRDefault="00897FE1" w:rsidP="004D2A49">
      <w:pPr>
        <w:tabs>
          <w:tab w:val="left" w:pos="630"/>
        </w:tabs>
        <w:spacing w:after="0" w:line="240" w:lineRule="auto"/>
        <w:ind w:hanging="2160"/>
        <w:jc w:val="both"/>
        <w:rPr>
          <w:rFonts w:ascii="Times New Roman" w:eastAsia="Times New Roman" w:hAnsi="Times New Roman"/>
          <w:sz w:val="16"/>
          <w:szCs w:val="16"/>
        </w:rPr>
      </w:pPr>
    </w:p>
    <w:p w:rsidR="00897FE1" w:rsidRPr="006425D4"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sz w:val="16"/>
          <w:szCs w:val="16"/>
        </w:rPr>
      </w:pPr>
      <w:r w:rsidRPr="00ED27E7">
        <w:rPr>
          <w:rFonts w:ascii="Times New Roman" w:eastAsia="Times New Roman" w:hAnsi="Times New Roman"/>
          <w:b/>
          <w:bCs/>
          <w:sz w:val="16"/>
          <w:szCs w:val="16"/>
        </w:rPr>
        <w:t>§</w:t>
      </w:r>
      <w:r w:rsidRPr="006425D4">
        <w:rPr>
          <w:rFonts w:ascii="Times New Roman" w:eastAsia="Times New Roman" w:hAnsi="Times New Roman"/>
          <w:b/>
          <w:bCs/>
          <w:sz w:val="16"/>
          <w:szCs w:val="16"/>
        </w:rPr>
        <w:t>2-156-143. Employee-to-employee gifts.</w:t>
      </w:r>
    </w:p>
    <w:p w:rsidR="00897FE1" w:rsidRDefault="005D42F8" w:rsidP="004D2A49">
      <w:pPr>
        <w:pStyle w:val="BodyText3"/>
        <w:tabs>
          <w:tab w:val="left" w:pos="-1440"/>
        </w:tabs>
        <w:spacing w:after="0"/>
        <w:jc w:val="both"/>
        <w:rPr>
          <w:rFonts w:ascii="Times New Roman" w:hAnsi="Times New Roman"/>
        </w:rPr>
      </w:pPr>
      <w:r>
        <w:rPr>
          <w:rFonts w:ascii="Times New Roman" w:hAnsi="Times New Roman"/>
        </w:rPr>
        <w:t>(a) Fo</w:t>
      </w:r>
      <w:r w:rsidR="00897FE1" w:rsidRPr="006425D4">
        <w:rPr>
          <w:rFonts w:ascii="Times New Roman" w:hAnsi="Times New Roman"/>
        </w:rPr>
        <w:t>r purposes of this section, the following definitions shall apply:</w:t>
      </w:r>
      <w:r>
        <w:rPr>
          <w:rFonts w:ascii="Times New Roman" w:hAnsi="Times New Roman"/>
        </w:rPr>
        <w:t xml:space="preserve"> </w:t>
      </w:r>
      <w:r w:rsidR="00897FE1" w:rsidRPr="006425D4">
        <w:rPr>
          <w:rFonts w:ascii="Times New Roman" w:hAnsi="Times New Roman"/>
        </w:rPr>
        <w:t>"Official superior" means any employee, including but not limited to an immediate supervisor, whose official responsibilities include directing or evaluating the performance of other employees’ official duties or those of any other supervisor of the employee. For purposes of this section, the term “official superior" shall also include the mayor. Additionally, for purposes of this section, an employee is considered to be the subordinate of any of his official superiors</w:t>
      </w:r>
      <w:r w:rsidR="00897FE1">
        <w:rPr>
          <w:rFonts w:ascii="Times New Roman" w:hAnsi="Times New Roman"/>
        </w:rPr>
        <w:t xml:space="preserve"> …</w:t>
      </w:r>
    </w:p>
    <w:p w:rsidR="00897FE1" w:rsidRPr="006425D4" w:rsidRDefault="00897FE1" w:rsidP="004D2A49">
      <w:pPr>
        <w:pStyle w:val="BodyText3"/>
        <w:tabs>
          <w:tab w:val="left" w:pos="-1440"/>
        </w:tabs>
        <w:spacing w:after="0"/>
        <w:ind w:hanging="634"/>
        <w:jc w:val="both"/>
        <w:rPr>
          <w:rFonts w:ascii="Times New Roman" w:hAnsi="Times New Roman"/>
        </w:rPr>
      </w:pPr>
    </w:p>
    <w:p w:rsidR="00897FE1"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sz w:val="16"/>
          <w:szCs w:val="16"/>
        </w:rPr>
      </w:pPr>
      <w:r w:rsidRPr="006425D4">
        <w:rPr>
          <w:rFonts w:ascii="Times New Roman" w:eastAsia="Times New Roman" w:hAnsi="Times New Roman"/>
          <w:sz w:val="16"/>
          <w:szCs w:val="16"/>
        </w:rPr>
        <w:t>(d)</w:t>
      </w:r>
      <w:r w:rsidR="005D42F8">
        <w:rPr>
          <w:rFonts w:ascii="Times New Roman" w:eastAsia="Times New Roman" w:hAnsi="Times New Roman"/>
          <w:sz w:val="16"/>
          <w:szCs w:val="16"/>
        </w:rPr>
        <w:t xml:space="preserve"> </w:t>
      </w:r>
      <w:r w:rsidRPr="006425D4">
        <w:rPr>
          <w:rFonts w:ascii="Times New Roman" w:eastAsia="Times New Roman" w:hAnsi="Times New Roman"/>
          <w:sz w:val="16"/>
          <w:szCs w:val="16"/>
        </w:rPr>
        <w:t>The restriction</w:t>
      </w:r>
      <w:r>
        <w:rPr>
          <w:rFonts w:ascii="Times New Roman" w:eastAsia="Times New Roman" w:hAnsi="Times New Roman"/>
          <w:sz w:val="16"/>
          <w:szCs w:val="16"/>
        </w:rPr>
        <w:t>[s on gifting between employees]</w:t>
      </w:r>
      <w:r w:rsidRPr="006425D4">
        <w:rPr>
          <w:rFonts w:ascii="Times New Roman" w:eastAsia="Times New Roman" w:hAnsi="Times New Roman"/>
          <w:sz w:val="16"/>
          <w:szCs w:val="16"/>
        </w:rPr>
        <w:t xml:space="preserve"> in subsections (b) and (c) shall not apply to the following</w:t>
      </w:r>
      <w:r>
        <w:rPr>
          <w:rFonts w:ascii="Times New Roman" w:eastAsia="Times New Roman" w:hAnsi="Times New Roman"/>
          <w:sz w:val="16"/>
          <w:szCs w:val="16"/>
        </w:rPr>
        <w:t xml:space="preserve"> …</w:t>
      </w:r>
    </w:p>
    <w:p w:rsidR="0051346B" w:rsidRDefault="0051346B"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sz w:val="16"/>
          <w:szCs w:val="16"/>
        </w:rPr>
      </w:pPr>
    </w:p>
    <w:p w:rsidR="00897FE1" w:rsidRPr="006425D4"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line="240" w:lineRule="auto"/>
        <w:jc w:val="both"/>
        <w:rPr>
          <w:rFonts w:ascii="Times New Roman" w:eastAsia="Times New Roman" w:hAnsi="Times New Roman"/>
          <w:sz w:val="16"/>
          <w:szCs w:val="16"/>
        </w:rPr>
      </w:pPr>
      <w:r w:rsidRPr="006425D4">
        <w:rPr>
          <w:rFonts w:ascii="Times New Roman" w:eastAsia="Times New Roman" w:hAnsi="Times New Roman"/>
          <w:sz w:val="16"/>
          <w:szCs w:val="16"/>
        </w:rPr>
        <w:t>(2)</w:t>
      </w:r>
      <w:r>
        <w:rPr>
          <w:rFonts w:ascii="Times New Roman" w:eastAsia="Times New Roman" w:hAnsi="Times New Roman"/>
          <w:sz w:val="16"/>
          <w:szCs w:val="16"/>
        </w:rPr>
        <w:t xml:space="preserve"> </w:t>
      </w:r>
      <w:r w:rsidRPr="006425D4">
        <w:rPr>
          <w:rFonts w:ascii="Times New Roman" w:eastAsia="Times New Roman" w:hAnsi="Times New Roman"/>
          <w:sz w:val="16"/>
          <w:szCs w:val="16"/>
        </w:rPr>
        <w:t>A gift appropriate to the occasion may be given to an official superior or accepted from a subordinate or other employee receiving less pay:</w:t>
      </w:r>
    </w:p>
    <w:p w:rsidR="00897FE1" w:rsidRDefault="00897FE1"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line="240" w:lineRule="auto"/>
        <w:jc w:val="both"/>
        <w:rPr>
          <w:rFonts w:ascii="Times New Roman" w:eastAsia="Times New Roman" w:hAnsi="Times New Roman"/>
          <w:sz w:val="16"/>
          <w:szCs w:val="16"/>
        </w:rPr>
      </w:pPr>
      <w:r w:rsidRPr="006425D4">
        <w:rPr>
          <w:rFonts w:ascii="Times New Roman" w:eastAsia="Times New Roman" w:hAnsi="Times New Roman"/>
          <w:sz w:val="16"/>
          <w:szCs w:val="16"/>
        </w:rPr>
        <w:t xml:space="preserve">(i) </w:t>
      </w:r>
      <w:r w:rsidR="005D42F8">
        <w:rPr>
          <w:rFonts w:ascii="Times New Roman" w:eastAsia="Times New Roman" w:hAnsi="Times New Roman"/>
          <w:sz w:val="16"/>
          <w:szCs w:val="16"/>
        </w:rPr>
        <w:t xml:space="preserve"> </w:t>
      </w:r>
      <w:r w:rsidRPr="006425D4">
        <w:rPr>
          <w:rFonts w:ascii="Times New Roman" w:eastAsia="Times New Roman" w:hAnsi="Times New Roman"/>
          <w:sz w:val="16"/>
          <w:szCs w:val="16"/>
        </w:rPr>
        <w:t>In recognition of infrequently occurring occasions of personal significance such as marriage, illness, or the birth or adoption of a child</w:t>
      </w:r>
      <w:r>
        <w:rPr>
          <w:rFonts w:ascii="Times New Roman" w:eastAsia="Times New Roman" w:hAnsi="Times New Roman"/>
          <w:sz w:val="16"/>
          <w:szCs w:val="16"/>
        </w:rPr>
        <w:t xml:space="preserve"> …</w:t>
      </w:r>
      <w:r w:rsidR="005D42F8">
        <w:rPr>
          <w:rFonts w:ascii="Times New Roman" w:eastAsia="Times New Roman" w:hAnsi="Times New Roman"/>
          <w:sz w:val="16"/>
          <w:szCs w:val="16"/>
        </w:rPr>
        <w:t>”</w:t>
      </w:r>
    </w:p>
    <w:p w:rsidR="004165FC" w:rsidRPr="003672DD" w:rsidRDefault="004165FC" w:rsidP="004D2A49">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line="240" w:lineRule="auto"/>
        <w:jc w:val="both"/>
        <w:rPr>
          <w:rFonts w:ascii="Times New Roman" w:eastAsia="Times New Roman" w:hAnsi="Times New Roman"/>
          <w:sz w:val="16"/>
          <w:szCs w:val="16"/>
        </w:rPr>
      </w:pPr>
    </w:p>
  </w:footnote>
  <w:footnote w:id="3">
    <w:p w:rsidR="00897FE1" w:rsidRPr="003672DD" w:rsidRDefault="00897FE1" w:rsidP="004B2E7F">
      <w:pPr>
        <w:pStyle w:val="FootnoteText"/>
        <w:spacing w:after="0" w:line="240" w:lineRule="auto"/>
        <w:jc w:val="both"/>
        <w:rPr>
          <w:rFonts w:ascii="Times New Roman" w:hAnsi="Times New Roman"/>
          <w:sz w:val="16"/>
          <w:szCs w:val="16"/>
        </w:rPr>
      </w:pPr>
      <w:r w:rsidRPr="005049BF">
        <w:rPr>
          <w:rStyle w:val="FootnoteReference"/>
          <w:rFonts w:ascii="Times New Roman" w:hAnsi="Times New Roman"/>
          <w:sz w:val="16"/>
          <w:szCs w:val="16"/>
        </w:rPr>
        <w:footnoteRef/>
      </w:r>
      <w:r w:rsidR="002E37BE">
        <w:rPr>
          <w:rFonts w:ascii="Times New Roman" w:hAnsi="Times New Roman"/>
          <w:sz w:val="16"/>
          <w:szCs w:val="16"/>
        </w:rPr>
        <w:t xml:space="preserve">We advise that anonymous gifts in excess of $50 should be donated to charity, and </w:t>
      </w:r>
      <w:r w:rsidR="00B319BC">
        <w:rPr>
          <w:rFonts w:ascii="Times New Roman" w:hAnsi="Times New Roman"/>
          <w:sz w:val="16"/>
          <w:szCs w:val="16"/>
        </w:rPr>
        <w:t xml:space="preserve">E            </w:t>
      </w:r>
      <w:r w:rsidR="002E37BE">
        <w:rPr>
          <w:rFonts w:ascii="Times New Roman" w:hAnsi="Times New Roman"/>
          <w:sz w:val="16"/>
          <w:szCs w:val="16"/>
        </w:rPr>
        <w:t xml:space="preserve"> should report them as donated gifts on </w:t>
      </w:r>
      <w:r w:rsidR="00B319BC">
        <w:rPr>
          <w:rFonts w:ascii="Times New Roman" w:hAnsi="Times New Roman"/>
          <w:sz w:val="16"/>
          <w:szCs w:val="16"/>
        </w:rPr>
        <w:t>the</w:t>
      </w:r>
      <w:r w:rsidR="002E37BE">
        <w:rPr>
          <w:rFonts w:ascii="Times New Roman" w:hAnsi="Times New Roman"/>
          <w:sz w:val="16"/>
          <w:szCs w:val="16"/>
        </w:rPr>
        <w:t xml:space="preserve"> 2018 Statement of Financial Interests. </w:t>
      </w:r>
      <w:r w:rsidRPr="005049BF">
        <w:rPr>
          <w:rFonts w:ascii="Times New Roman" w:hAnsi="Times New Roman"/>
          <w:sz w:val="16"/>
          <w:szCs w:val="16"/>
        </w:rPr>
        <w:t xml:space="preserve">A </w:t>
      </w:r>
      <w:r w:rsidR="00B319BC">
        <w:rPr>
          <w:rFonts w:ascii="Times New Roman" w:hAnsi="Times New Roman"/>
          <w:sz w:val="16"/>
          <w:szCs w:val="16"/>
        </w:rPr>
        <w:t>[member of the association]    conta</w:t>
      </w:r>
      <w:r w:rsidRPr="005049BF">
        <w:rPr>
          <w:rFonts w:ascii="Times New Roman" w:hAnsi="Times New Roman"/>
          <w:sz w:val="16"/>
          <w:szCs w:val="16"/>
        </w:rPr>
        <w:t xml:space="preserve">cted Mr. Berlin on </w:t>
      </w:r>
      <w:r w:rsidR="00B319BC">
        <w:rPr>
          <w:rFonts w:ascii="Times New Roman" w:hAnsi="Times New Roman"/>
          <w:sz w:val="16"/>
          <w:szCs w:val="16"/>
        </w:rPr>
        <w:t xml:space="preserve">         </w:t>
      </w:r>
      <w:r w:rsidRPr="005049BF">
        <w:rPr>
          <w:rFonts w:ascii="Times New Roman" w:hAnsi="Times New Roman"/>
          <w:sz w:val="16"/>
          <w:szCs w:val="16"/>
        </w:rPr>
        <w:t xml:space="preserve"> and </w:t>
      </w:r>
      <w:r w:rsidRPr="003672DD">
        <w:rPr>
          <w:rFonts w:ascii="Times New Roman" w:hAnsi="Times New Roman"/>
          <w:sz w:val="16"/>
          <w:szCs w:val="16"/>
        </w:rPr>
        <w:t>he advised her to</w:t>
      </w:r>
      <w:r w:rsidRPr="005049BF">
        <w:rPr>
          <w:rFonts w:ascii="Times New Roman" w:hAnsi="Times New Roman"/>
          <w:sz w:val="16"/>
          <w:szCs w:val="16"/>
        </w:rPr>
        <w:t xml:space="preserve"> keep a detailed spreadsheet of those </w:t>
      </w:r>
      <w:r w:rsidR="00B319BC">
        <w:rPr>
          <w:rFonts w:ascii="Times New Roman" w:hAnsi="Times New Roman"/>
          <w:sz w:val="16"/>
          <w:szCs w:val="16"/>
        </w:rPr>
        <w:t>[members]</w:t>
      </w:r>
      <w:r w:rsidRPr="005049BF">
        <w:rPr>
          <w:rFonts w:ascii="Times New Roman" w:hAnsi="Times New Roman"/>
          <w:sz w:val="16"/>
          <w:szCs w:val="16"/>
        </w:rPr>
        <w:t xml:space="preserve"> who donate, and what they donate.  We </w:t>
      </w:r>
      <w:r w:rsidR="00193B67">
        <w:rPr>
          <w:rFonts w:ascii="Times New Roman" w:hAnsi="Times New Roman"/>
          <w:sz w:val="16"/>
          <w:szCs w:val="16"/>
        </w:rPr>
        <w:t>en</w:t>
      </w:r>
      <w:r w:rsidR="002A7214">
        <w:rPr>
          <w:rFonts w:ascii="Times New Roman" w:hAnsi="Times New Roman"/>
          <w:sz w:val="16"/>
          <w:szCs w:val="16"/>
        </w:rPr>
        <w:t>c</w:t>
      </w:r>
      <w:r w:rsidR="00193B67">
        <w:rPr>
          <w:rFonts w:ascii="Times New Roman" w:hAnsi="Times New Roman"/>
          <w:sz w:val="16"/>
          <w:szCs w:val="16"/>
        </w:rPr>
        <w:t>ourage this</w:t>
      </w:r>
      <w:r w:rsidR="002A7214">
        <w:rPr>
          <w:rFonts w:ascii="Times New Roman" w:hAnsi="Times New Roman"/>
          <w:sz w:val="16"/>
          <w:szCs w:val="16"/>
        </w:rPr>
        <w:t xml:space="preserve"> in order</w:t>
      </w:r>
      <w:r w:rsidRPr="005049BF">
        <w:rPr>
          <w:rFonts w:ascii="Times New Roman" w:hAnsi="Times New Roman"/>
          <w:sz w:val="16"/>
          <w:szCs w:val="16"/>
        </w:rPr>
        <w:t xml:space="preserve"> to </w:t>
      </w:r>
      <w:r w:rsidR="00193B67">
        <w:rPr>
          <w:rFonts w:ascii="Times New Roman" w:hAnsi="Times New Roman"/>
          <w:sz w:val="16"/>
          <w:szCs w:val="16"/>
        </w:rPr>
        <w:t xml:space="preserve">minimize anonymous gifts, </w:t>
      </w:r>
      <w:r w:rsidRPr="005049BF">
        <w:rPr>
          <w:rFonts w:ascii="Times New Roman" w:hAnsi="Times New Roman"/>
          <w:sz w:val="16"/>
          <w:szCs w:val="16"/>
        </w:rPr>
        <w:t>and for the sake of transparency.</w:t>
      </w:r>
      <w:r w:rsidR="004B2E7F">
        <w:rPr>
          <w:rFonts w:ascii="Times New Roman" w:hAnsi="Times New Roman"/>
          <w:sz w:val="16"/>
          <w:szCs w:val="16"/>
        </w:rPr>
        <w:t xml:space="preserve"> </w:t>
      </w:r>
    </w:p>
    <w:p w:rsidR="00897FE1" w:rsidRPr="005049BF" w:rsidRDefault="00897FE1" w:rsidP="004D2A49">
      <w:pPr>
        <w:pStyle w:val="FootnoteText"/>
        <w:spacing w:after="0" w:line="240" w:lineRule="auto"/>
        <w:rPr>
          <w:rFonts w:ascii="Times New Roman" w:hAnsi="Times New Roman"/>
          <w:sz w:val="16"/>
          <w:szCs w:val="16"/>
        </w:rPr>
      </w:pPr>
    </w:p>
  </w:footnote>
  <w:footnote w:id="4">
    <w:p w:rsidR="00677E85" w:rsidRPr="00400561" w:rsidRDefault="00677E85" w:rsidP="00677E85">
      <w:pPr>
        <w:spacing w:after="0" w:line="240" w:lineRule="auto"/>
        <w:rPr>
          <w:rFonts w:ascii="Times New Roman" w:eastAsia="Times New Roman" w:hAnsi="Times New Roman"/>
          <w:sz w:val="16"/>
          <w:szCs w:val="16"/>
        </w:rPr>
      </w:pPr>
      <w:r w:rsidRPr="00400561">
        <w:rPr>
          <w:rStyle w:val="FootnoteReference"/>
          <w:rFonts w:ascii="Times New Roman" w:hAnsi="Times New Roman"/>
          <w:sz w:val="16"/>
          <w:szCs w:val="16"/>
        </w:rPr>
        <w:footnoteRef/>
      </w:r>
      <w:r w:rsidRPr="00400561">
        <w:rPr>
          <w:rFonts w:ascii="Times New Roman" w:eastAsia="Times New Roman" w:hAnsi="Times New Roman"/>
          <w:sz w:val="16"/>
          <w:szCs w:val="16"/>
        </w:rPr>
        <w:t xml:space="preserve"> </w:t>
      </w:r>
      <w:r w:rsidRPr="00400561">
        <w:rPr>
          <w:rFonts w:ascii="Times New Roman" w:eastAsia="Times New Roman" w:hAnsi="Times New Roman"/>
          <w:i/>
          <w:sz w:val="16"/>
          <w:szCs w:val="16"/>
        </w:rPr>
        <w:t>See</w:t>
      </w:r>
      <w:r w:rsidRPr="00400561">
        <w:rPr>
          <w:rFonts w:ascii="Times New Roman" w:eastAsia="Times New Roman" w:hAnsi="Times New Roman"/>
          <w:b/>
          <w:sz w:val="16"/>
          <w:szCs w:val="16"/>
        </w:rPr>
        <w:t xml:space="preserve"> §-156-402. Waivers</w:t>
      </w:r>
      <w:r w:rsidRPr="00400561">
        <w:rPr>
          <w:rFonts w:ascii="Times New Roman" w:eastAsia="Times New Roman" w:hAnsi="Times New Roman"/>
          <w:sz w:val="16"/>
          <w:szCs w:val="16"/>
        </w:rPr>
        <w:t>. This section, provides, in relevant part:</w:t>
      </w:r>
    </w:p>
    <w:p w:rsidR="00677E85" w:rsidRPr="00400561" w:rsidRDefault="00677E85" w:rsidP="00677E85">
      <w:pPr>
        <w:spacing w:after="0" w:line="240" w:lineRule="auto"/>
        <w:jc w:val="both"/>
        <w:rPr>
          <w:rFonts w:ascii="Times New Roman" w:eastAsia="Times New Roman" w:hAnsi="Times New Roman"/>
          <w:sz w:val="16"/>
          <w:szCs w:val="16"/>
        </w:rPr>
      </w:pPr>
      <w:r w:rsidRPr="00400561">
        <w:rPr>
          <w:rFonts w:ascii="Times New Roman" w:eastAsia="Times New Roman" w:hAnsi="Times New Roman"/>
          <w:sz w:val="16"/>
          <w:szCs w:val="16"/>
        </w:rPr>
        <w:t>(a) When requested by a city official or employee, the board may grant a waiver from compliance with any of the following: (1) The gift restrictions in Section 2-156-142(a) to the extent they apply to material or travel expenses for meetings ...</w:t>
      </w:r>
      <w:r w:rsidR="00400561">
        <w:rPr>
          <w:rFonts w:ascii="Times New Roman" w:eastAsia="Times New Roman" w:hAnsi="Times New Roman"/>
          <w:sz w:val="16"/>
          <w:szCs w:val="16"/>
        </w:rPr>
        <w:t>”</w:t>
      </w:r>
      <w:r w:rsidR="00400561" w:rsidRPr="00400561">
        <w:rPr>
          <w:rFonts w:ascii="Times New Roman" w:eastAsia="Times New Roman" w:hAnsi="Times New Roman"/>
          <w:sz w:val="16"/>
          <w:szCs w:val="16"/>
        </w:rPr>
        <w:t xml:space="preserve">  Moreover, we note that, u</w:t>
      </w:r>
      <w:r w:rsidR="00400561" w:rsidRPr="00400561">
        <w:rPr>
          <w:rFonts w:ascii="Times New Roman" w:hAnsi="Times New Roman"/>
          <w:sz w:val="16"/>
          <w:szCs w:val="16"/>
        </w:rPr>
        <w:t xml:space="preserve">nder the Ordinance’s gift restrictions prior to the November 1, 2012 revisions made to it, these cash gifts </w:t>
      </w:r>
      <w:r w:rsidR="00400561" w:rsidRPr="00400561">
        <w:rPr>
          <w:rFonts w:ascii="Times New Roman" w:hAnsi="Times New Roman"/>
          <w:i/>
          <w:sz w:val="16"/>
          <w:szCs w:val="16"/>
        </w:rPr>
        <w:t>would</w:t>
      </w:r>
      <w:r w:rsidR="00400561" w:rsidRPr="00400561">
        <w:rPr>
          <w:rFonts w:ascii="Times New Roman" w:hAnsi="Times New Roman"/>
          <w:sz w:val="16"/>
          <w:szCs w:val="16"/>
        </w:rPr>
        <w:t xml:space="preserve"> have been allowable in </w:t>
      </w:r>
      <w:r w:rsidR="00400561" w:rsidRPr="00400561">
        <w:rPr>
          <w:rFonts w:ascii="Times New Roman" w:hAnsi="Times New Roman"/>
          <w:i/>
          <w:sz w:val="16"/>
          <w:szCs w:val="16"/>
        </w:rPr>
        <w:t>any</w:t>
      </w:r>
      <w:r w:rsidR="00400561" w:rsidRPr="00400561">
        <w:rPr>
          <w:rFonts w:ascii="Times New Roman" w:hAnsi="Times New Roman"/>
          <w:sz w:val="16"/>
          <w:szCs w:val="16"/>
        </w:rPr>
        <w:t xml:space="preserve"> amount, provided they came from persons who did not have City business that </w:t>
      </w:r>
      <w:r w:rsidR="00B319BC">
        <w:rPr>
          <w:rFonts w:ascii="Times New Roman" w:hAnsi="Times New Roman"/>
          <w:sz w:val="16"/>
          <w:szCs w:val="16"/>
        </w:rPr>
        <w:t xml:space="preserve">E            </w:t>
      </w:r>
      <w:r w:rsidR="00400561" w:rsidRPr="00400561">
        <w:rPr>
          <w:rFonts w:ascii="Times New Roman" w:hAnsi="Times New Roman"/>
          <w:sz w:val="16"/>
          <w:szCs w:val="16"/>
        </w:rPr>
        <w:t xml:space="preserve"> could substantially affect at the time the gifts were made</w:t>
      </w:r>
      <w:r w:rsidR="00B319BC">
        <w:rPr>
          <w:rFonts w:ascii="Times New Roman" w:hAnsi="Times New Roman"/>
          <w:sz w:val="16"/>
          <w:szCs w:val="16"/>
        </w:rPr>
        <w:t xml:space="preserve">       </w:t>
      </w:r>
      <w:r w:rsidR="00400561" w:rsidRPr="00400561">
        <w:rPr>
          <w:rFonts w:ascii="Times New Roman" w:hAnsi="Times New Roman"/>
          <w:sz w:val="16"/>
          <w:szCs w:val="16"/>
        </w:rPr>
        <w:t>.</w:t>
      </w:r>
    </w:p>
    <w:p w:rsidR="00EA49AA" w:rsidRDefault="00EA49AA" w:rsidP="00677E85">
      <w:pPr>
        <w:spacing w:after="0" w:line="240" w:lineRule="auto"/>
        <w:jc w:val="both"/>
      </w:pPr>
    </w:p>
  </w:footnote>
  <w:footnote w:id="5">
    <w:p w:rsidR="00191B45" w:rsidRPr="00191B45" w:rsidRDefault="00191B45" w:rsidP="004B7E18">
      <w:pPr>
        <w:spacing w:after="0" w:line="240" w:lineRule="auto"/>
        <w:ind w:right="-274"/>
        <w:jc w:val="both"/>
        <w:rPr>
          <w:rFonts w:ascii="Times New Roman" w:hAnsi="Times New Roman"/>
          <w:sz w:val="16"/>
          <w:szCs w:val="16"/>
        </w:rPr>
      </w:pPr>
      <w:r w:rsidRPr="00191B45">
        <w:rPr>
          <w:rStyle w:val="FootnoteReference"/>
          <w:rFonts w:ascii="Times New Roman" w:hAnsi="Times New Roman"/>
          <w:sz w:val="16"/>
          <w:szCs w:val="16"/>
        </w:rPr>
        <w:footnoteRef/>
      </w:r>
      <w:r w:rsidRPr="00191B45">
        <w:rPr>
          <w:rFonts w:ascii="Times New Roman" w:hAnsi="Times New Roman"/>
          <w:sz w:val="16"/>
          <w:szCs w:val="16"/>
        </w:rPr>
        <w:t xml:space="preserve"> The Board is acting</w:t>
      </w:r>
      <w:r>
        <w:rPr>
          <w:rFonts w:ascii="Times New Roman" w:hAnsi="Times New Roman"/>
          <w:sz w:val="16"/>
          <w:szCs w:val="16"/>
        </w:rPr>
        <w:t>,</w:t>
      </w:r>
      <w:r w:rsidRPr="00191B45">
        <w:rPr>
          <w:rFonts w:ascii="Times New Roman" w:hAnsi="Times New Roman"/>
          <w:sz w:val="16"/>
          <w:szCs w:val="16"/>
        </w:rPr>
        <w:t xml:space="preserve"> in its own way</w:t>
      </w:r>
      <w:r w:rsidR="00F85E6E">
        <w:rPr>
          <w:rFonts w:ascii="Times New Roman" w:hAnsi="Times New Roman"/>
          <w:sz w:val="16"/>
          <w:szCs w:val="16"/>
        </w:rPr>
        <w:t>, and under its own authority</w:t>
      </w:r>
      <w:r>
        <w:rPr>
          <w:rFonts w:ascii="Times New Roman" w:hAnsi="Times New Roman"/>
          <w:sz w:val="16"/>
          <w:szCs w:val="16"/>
        </w:rPr>
        <w:t>,</w:t>
      </w:r>
      <w:r w:rsidRPr="00191B45">
        <w:rPr>
          <w:rFonts w:ascii="Times New Roman" w:hAnsi="Times New Roman"/>
          <w:sz w:val="16"/>
          <w:szCs w:val="16"/>
        </w:rPr>
        <w:t xml:space="preserve"> as would a court of “equity.”  “Equity” means:</w:t>
      </w:r>
    </w:p>
    <w:p w:rsidR="00191B45" w:rsidRPr="00191B45" w:rsidRDefault="00191B45" w:rsidP="004B7E18">
      <w:pPr>
        <w:spacing w:after="0" w:line="240" w:lineRule="auto"/>
        <w:ind w:right="-274"/>
        <w:jc w:val="both"/>
        <w:rPr>
          <w:rFonts w:ascii="Times New Roman" w:hAnsi="Times New Roman"/>
          <w:sz w:val="16"/>
          <w:szCs w:val="16"/>
        </w:rPr>
      </w:pPr>
    </w:p>
    <w:p w:rsidR="00F85E6E" w:rsidRPr="00193B67" w:rsidRDefault="00F85E6E" w:rsidP="00F85E6E">
      <w:pPr>
        <w:spacing w:after="0" w:line="240" w:lineRule="auto"/>
        <w:ind w:left="360" w:right="-274"/>
        <w:jc w:val="both"/>
        <w:rPr>
          <w:rFonts w:ascii="Times New Roman" w:hAnsi="Times New Roman"/>
          <w:sz w:val="16"/>
          <w:szCs w:val="16"/>
        </w:rPr>
      </w:pPr>
      <w:r w:rsidRPr="00193B67">
        <w:rPr>
          <w:rFonts w:ascii="Times New Roman" w:hAnsi="Times New Roman"/>
          <w:sz w:val="16"/>
          <w:szCs w:val="16"/>
        </w:rPr>
        <w:t>“Justice administered according to fairness as contrasted with the strictly formulated rules of common law. … The term ‘equity’ denotes the spirit and habit of fairness, justness and right dealing which would regulate the intercourse of men [and women] with men [and women].”  Black’s Law Dictionary, 5</w:t>
      </w:r>
      <w:r w:rsidRPr="00193B67">
        <w:rPr>
          <w:rFonts w:ascii="Times New Roman" w:hAnsi="Times New Roman"/>
          <w:sz w:val="16"/>
          <w:szCs w:val="16"/>
          <w:vertAlign w:val="superscript"/>
        </w:rPr>
        <w:t>th</w:t>
      </w:r>
      <w:r w:rsidRPr="00193B67">
        <w:rPr>
          <w:rFonts w:ascii="Times New Roman" w:hAnsi="Times New Roman"/>
          <w:sz w:val="16"/>
          <w:szCs w:val="16"/>
        </w:rPr>
        <w:t xml:space="preserve"> Ed., 1979.  (bracketed materials added)</w:t>
      </w:r>
    </w:p>
    <w:p w:rsidR="00191B45" w:rsidRDefault="00191B45" w:rsidP="00191B45">
      <w:pPr>
        <w:pStyle w:val="FootnoteText"/>
        <w:spacing w:after="0" w:line="240" w:lineRule="auto"/>
      </w:pPr>
    </w:p>
  </w:footnote>
  <w:footnote w:id="6">
    <w:p w:rsidR="00B17333" w:rsidRPr="00DB16E7" w:rsidRDefault="00B17333" w:rsidP="00A01A06">
      <w:pPr>
        <w:pStyle w:val="FootnoteText"/>
        <w:spacing w:after="0" w:line="240" w:lineRule="auto"/>
        <w:rPr>
          <w:rFonts w:ascii="Times New Roman" w:hAnsi="Times New Roman"/>
          <w:sz w:val="16"/>
        </w:rPr>
      </w:pPr>
      <w:r w:rsidRPr="00DB16E7">
        <w:rPr>
          <w:rStyle w:val="FootnoteReference"/>
          <w:rFonts w:ascii="Times New Roman" w:hAnsi="Times New Roman"/>
          <w:sz w:val="16"/>
        </w:rPr>
        <w:footnoteRef/>
      </w:r>
      <w:r w:rsidRPr="00DB16E7">
        <w:rPr>
          <w:rFonts w:ascii="Times New Roman" w:hAnsi="Times New Roman"/>
          <w:sz w:val="16"/>
        </w:rPr>
        <w:t xml:space="preserve"> </w:t>
      </w:r>
      <w:r w:rsidRPr="00DB16E7">
        <w:rPr>
          <w:rFonts w:ascii="Times New Roman" w:hAnsi="Times New Roman"/>
          <w:i/>
          <w:sz w:val="16"/>
        </w:rPr>
        <w:t>See also</w:t>
      </w:r>
      <w:r w:rsidRPr="00DB16E7">
        <w:rPr>
          <w:rFonts w:ascii="Times New Roman" w:hAnsi="Times New Roman"/>
          <w:sz w:val="16"/>
        </w:rPr>
        <w:t xml:space="preserve"> Case Nos. 90029.A; 90033.A; 90040.A; and 90062.A. </w:t>
      </w:r>
    </w:p>
    <w:p w:rsidR="00B17333" w:rsidRDefault="00B17333" w:rsidP="00A01A06">
      <w:pPr>
        <w:pStyle w:val="FootnoteText"/>
        <w:spacing w:after="0" w:line="240" w:lineRule="auto"/>
      </w:pPr>
    </w:p>
  </w:footnote>
  <w:footnote w:id="7">
    <w:p w:rsidR="00897FE1" w:rsidRDefault="00897FE1" w:rsidP="00A01A06">
      <w:pPr>
        <w:pStyle w:val="FootnoteText"/>
        <w:spacing w:after="0" w:line="240" w:lineRule="auto"/>
        <w:jc w:val="both"/>
        <w:rPr>
          <w:rFonts w:ascii="Times New Roman" w:hAnsi="Times New Roman"/>
          <w:sz w:val="16"/>
          <w:szCs w:val="16"/>
        </w:rPr>
      </w:pPr>
      <w:r w:rsidRPr="005049BF">
        <w:rPr>
          <w:rStyle w:val="FootnoteReference"/>
          <w:rFonts w:ascii="Times New Roman" w:hAnsi="Times New Roman"/>
          <w:sz w:val="16"/>
          <w:szCs w:val="16"/>
        </w:rPr>
        <w:footnoteRef/>
      </w:r>
      <w:r w:rsidRPr="005049BF">
        <w:rPr>
          <w:rFonts w:ascii="Times New Roman" w:hAnsi="Times New Roman"/>
          <w:sz w:val="16"/>
          <w:szCs w:val="16"/>
        </w:rPr>
        <w:t xml:space="preserve"> A single donor includes a “household</w:t>
      </w:r>
      <w:r w:rsidR="00F75941">
        <w:rPr>
          <w:rFonts w:ascii="Times New Roman" w:hAnsi="Times New Roman"/>
          <w:sz w:val="16"/>
          <w:szCs w:val="16"/>
        </w:rPr>
        <w:t>.</w:t>
      </w:r>
      <w:r w:rsidRPr="005049BF">
        <w:rPr>
          <w:rFonts w:ascii="Times New Roman" w:hAnsi="Times New Roman"/>
          <w:sz w:val="16"/>
          <w:szCs w:val="16"/>
        </w:rPr>
        <w:t xml:space="preserve">” </w:t>
      </w:r>
      <w:r w:rsidR="00F75941">
        <w:rPr>
          <w:rFonts w:ascii="Times New Roman" w:hAnsi="Times New Roman"/>
          <w:sz w:val="16"/>
          <w:szCs w:val="16"/>
        </w:rPr>
        <w:t xml:space="preserve">Thus, </w:t>
      </w:r>
      <w:r w:rsidRPr="005049BF">
        <w:rPr>
          <w:rFonts w:ascii="Times New Roman" w:hAnsi="Times New Roman"/>
          <w:sz w:val="16"/>
          <w:szCs w:val="16"/>
        </w:rPr>
        <w:t xml:space="preserve">gifts </w:t>
      </w:r>
      <w:r w:rsidR="00C35688">
        <w:rPr>
          <w:rFonts w:ascii="Times New Roman" w:hAnsi="Times New Roman"/>
          <w:sz w:val="16"/>
          <w:szCs w:val="16"/>
        </w:rPr>
        <w:t xml:space="preserve">given </w:t>
      </w:r>
      <w:r w:rsidRPr="005049BF">
        <w:rPr>
          <w:rFonts w:ascii="Times New Roman" w:hAnsi="Times New Roman"/>
          <w:sz w:val="16"/>
          <w:szCs w:val="16"/>
        </w:rPr>
        <w:t xml:space="preserve">separately by a husband and wife </w:t>
      </w:r>
      <w:r w:rsidR="00F75941">
        <w:rPr>
          <w:rFonts w:ascii="Times New Roman" w:hAnsi="Times New Roman"/>
          <w:sz w:val="16"/>
          <w:szCs w:val="16"/>
        </w:rPr>
        <w:t>may not total</w:t>
      </w:r>
      <w:r w:rsidRPr="005049BF">
        <w:rPr>
          <w:rFonts w:ascii="Times New Roman" w:hAnsi="Times New Roman"/>
          <w:sz w:val="16"/>
          <w:szCs w:val="16"/>
        </w:rPr>
        <w:t xml:space="preserve"> in excess of $50.</w:t>
      </w:r>
    </w:p>
    <w:p w:rsidR="0051346B" w:rsidRPr="005049BF" w:rsidRDefault="0051346B" w:rsidP="004D2A49">
      <w:pPr>
        <w:pStyle w:val="FootnoteText"/>
        <w:spacing w:after="0" w:line="240" w:lineRule="auto"/>
        <w:jc w:val="both"/>
        <w:rPr>
          <w:rFonts w:ascii="Times New Roman" w:hAnsi="Times New Roman"/>
          <w:sz w:val="16"/>
          <w:szCs w:val="16"/>
        </w:rPr>
      </w:pPr>
    </w:p>
  </w:footnote>
  <w:footnote w:id="8">
    <w:p w:rsidR="00897FE1" w:rsidRDefault="00897FE1" w:rsidP="004D2A49">
      <w:pPr>
        <w:pStyle w:val="FootnoteText"/>
        <w:spacing w:after="0" w:line="240" w:lineRule="auto"/>
        <w:jc w:val="both"/>
        <w:rPr>
          <w:rFonts w:ascii="Times New Roman" w:hAnsi="Times New Roman"/>
          <w:sz w:val="16"/>
        </w:rPr>
      </w:pPr>
      <w:r w:rsidRPr="005049BF">
        <w:rPr>
          <w:rStyle w:val="FootnoteReference"/>
          <w:rFonts w:ascii="Times New Roman" w:hAnsi="Times New Roman"/>
          <w:sz w:val="16"/>
        </w:rPr>
        <w:footnoteRef/>
      </w:r>
      <w:r w:rsidRPr="005049BF">
        <w:rPr>
          <w:rFonts w:ascii="Times New Roman" w:hAnsi="Times New Roman"/>
          <w:sz w:val="16"/>
        </w:rPr>
        <w:t xml:space="preserve"> What is a “personal friend?” The Ordinance does not define the term.  This personal friendship exemption was added to the Ordinance as part of the </w:t>
      </w:r>
      <w:r w:rsidR="00622E32">
        <w:rPr>
          <w:rFonts w:ascii="Times New Roman" w:hAnsi="Times New Roman"/>
          <w:sz w:val="16"/>
        </w:rPr>
        <w:t xml:space="preserve">revision </w:t>
      </w:r>
      <w:r w:rsidR="0051346B">
        <w:rPr>
          <w:rFonts w:ascii="Times New Roman" w:hAnsi="Times New Roman"/>
          <w:sz w:val="16"/>
        </w:rPr>
        <w:t>that</w:t>
      </w:r>
      <w:r w:rsidRPr="005049BF">
        <w:rPr>
          <w:rFonts w:ascii="Times New Roman" w:hAnsi="Times New Roman"/>
          <w:sz w:val="16"/>
        </w:rPr>
        <w:t xml:space="preserve"> took effect on November 1, 2012.  Since that time, Board staff has advised City employees and officials regarding </w:t>
      </w:r>
      <w:r w:rsidR="002621E1">
        <w:rPr>
          <w:rFonts w:ascii="Times New Roman" w:hAnsi="Times New Roman"/>
          <w:sz w:val="16"/>
        </w:rPr>
        <w:t>who</w:t>
      </w:r>
      <w:r w:rsidRPr="005049BF">
        <w:rPr>
          <w:rFonts w:ascii="Times New Roman" w:hAnsi="Times New Roman"/>
          <w:sz w:val="16"/>
        </w:rPr>
        <w:t xml:space="preserve"> is a personal friend</w:t>
      </w:r>
      <w:r w:rsidR="007576A7" w:rsidRPr="005049BF">
        <w:rPr>
          <w:rFonts w:ascii="Times New Roman" w:hAnsi="Times New Roman"/>
          <w:sz w:val="16"/>
        </w:rPr>
        <w:t xml:space="preserve">.  Because this exemption is derived from an Illinois statute, </w:t>
      </w:r>
      <w:r w:rsidR="00F74A43" w:rsidRPr="005049BF">
        <w:rPr>
          <w:rFonts w:ascii="Times New Roman" w:hAnsi="Times New Roman"/>
          <w:sz w:val="16"/>
        </w:rPr>
        <w:t xml:space="preserve">the “State Officials and Employees Ethics Act,” we </w:t>
      </w:r>
      <w:r w:rsidR="0051346B" w:rsidRPr="005049BF">
        <w:rPr>
          <w:rFonts w:ascii="Times New Roman" w:hAnsi="Times New Roman"/>
          <w:sz w:val="16"/>
        </w:rPr>
        <w:t xml:space="preserve">employ the guidance in that statute, and will </w:t>
      </w:r>
      <w:r w:rsidR="00755C04">
        <w:rPr>
          <w:rFonts w:ascii="Times New Roman" w:hAnsi="Times New Roman"/>
          <w:sz w:val="16"/>
        </w:rPr>
        <w:t xml:space="preserve">accordingly </w:t>
      </w:r>
      <w:r w:rsidR="0051346B" w:rsidRPr="005049BF">
        <w:rPr>
          <w:rFonts w:ascii="Times New Roman" w:hAnsi="Times New Roman"/>
          <w:sz w:val="16"/>
        </w:rPr>
        <w:t xml:space="preserve">consider “the circumstances under which the gift was offered,” such as (i) the history of the relationship between the individual giving the gift and the recipient of the gift, including any previous exchange of gifts between those individuals; (ii) whether to the actual knowledge of City official or employee the individual who gave the gift personally paid for the gift or sought a tax deduction or business reimbursement of the gift; and (iii) whether to the actual knowledge of the City official or employee, the individual who gave the gift also at the same time gave the same or similar gifts to other City officials or employees. </w:t>
      </w:r>
      <w:r w:rsidR="0051346B" w:rsidRPr="005049BF">
        <w:rPr>
          <w:rFonts w:ascii="Times New Roman" w:hAnsi="Times New Roman"/>
          <w:i/>
          <w:sz w:val="16"/>
        </w:rPr>
        <w:t>Cf.</w:t>
      </w:r>
      <w:r w:rsidR="0051346B" w:rsidRPr="005049BF">
        <w:rPr>
          <w:rFonts w:ascii="Times New Roman" w:hAnsi="Times New Roman"/>
          <w:sz w:val="16"/>
        </w:rPr>
        <w:t xml:space="preserve"> 5 ILCS 430/10-15(7). </w:t>
      </w:r>
    </w:p>
    <w:p w:rsidR="004C3266" w:rsidRDefault="004C3266" w:rsidP="00522CC1">
      <w:pPr>
        <w:pStyle w:val="FootnoteText"/>
        <w:spacing w:after="0" w:line="240" w:lineRule="auto"/>
        <w:jc w:val="both"/>
      </w:pPr>
    </w:p>
  </w:footnote>
  <w:footnote w:id="9">
    <w:p w:rsidR="005B2AC4" w:rsidRPr="005B2AC4" w:rsidRDefault="005B2AC4" w:rsidP="00522CC1">
      <w:pPr>
        <w:pStyle w:val="FootnoteText"/>
        <w:spacing w:after="0" w:line="240" w:lineRule="auto"/>
        <w:jc w:val="both"/>
        <w:rPr>
          <w:rFonts w:ascii="Times New Roman" w:hAnsi="Times New Roman"/>
          <w:sz w:val="16"/>
          <w:szCs w:val="16"/>
        </w:rPr>
      </w:pPr>
      <w:r w:rsidRPr="005B2AC4">
        <w:rPr>
          <w:rStyle w:val="FootnoteReference"/>
          <w:rFonts w:ascii="Times New Roman" w:hAnsi="Times New Roman"/>
          <w:sz w:val="16"/>
          <w:szCs w:val="16"/>
        </w:rPr>
        <w:footnoteRef/>
      </w:r>
      <w:r w:rsidRPr="005B2AC4">
        <w:rPr>
          <w:rFonts w:ascii="Times New Roman" w:hAnsi="Times New Roman"/>
          <w:sz w:val="16"/>
          <w:szCs w:val="16"/>
        </w:rPr>
        <w:t xml:space="preserve"> In particular, Illinois has a new law, informally known as the Illinois Intrastate Crowdfunding Bill, which affects raising capital for businesses through “crowdfunding,” that is, raising money through small sums on the internet.  </w:t>
      </w:r>
      <w:r w:rsidRPr="005B2AC4">
        <w:rPr>
          <w:rFonts w:ascii="Times New Roman" w:hAnsi="Times New Roman"/>
          <w:i/>
          <w:sz w:val="16"/>
          <w:szCs w:val="16"/>
        </w:rPr>
        <w:t>See</w:t>
      </w:r>
    </w:p>
    <w:p w:rsidR="00522CC1" w:rsidRDefault="00F9337A" w:rsidP="00522CC1">
      <w:pPr>
        <w:pStyle w:val="MediumGrid21"/>
        <w:ind w:right="-274"/>
        <w:jc w:val="both"/>
        <w:rPr>
          <w:rFonts w:ascii="Times New Roman" w:hAnsi="Times New Roman"/>
          <w:i/>
          <w:sz w:val="16"/>
          <w:szCs w:val="16"/>
        </w:rPr>
      </w:pPr>
      <w:hyperlink r:id="rId1" w:history="1">
        <w:r w:rsidR="005B2AC4" w:rsidRPr="005B2AC4">
          <w:rPr>
            <w:rStyle w:val="Hyperlink"/>
            <w:rFonts w:ascii="Times New Roman" w:hAnsi="Times New Roman"/>
            <w:sz w:val="16"/>
            <w:szCs w:val="16"/>
          </w:rPr>
          <w:t>https://crowdfundinglegalnews.files.wordpress.com/2015/05/hb-3429-final1.pdf</w:t>
        </w:r>
      </w:hyperlink>
      <w:r w:rsidR="005B2AC4" w:rsidRPr="005B2AC4">
        <w:rPr>
          <w:rFonts w:ascii="Times New Roman" w:hAnsi="Times New Roman"/>
          <w:sz w:val="16"/>
          <w:szCs w:val="16"/>
        </w:rPr>
        <w:t xml:space="preserve">.  Moreover, we urge that you advise concerned and charitable citizens to familiarize themselves with GoFundMe’s company policies to ensure that no one is defrauded.  It is a new technique, and not without its risks. </w:t>
      </w:r>
      <w:r w:rsidR="005B2AC4" w:rsidRPr="005B2AC4">
        <w:rPr>
          <w:rFonts w:ascii="Times New Roman" w:hAnsi="Times New Roman"/>
          <w:i/>
          <w:sz w:val="16"/>
          <w:szCs w:val="16"/>
        </w:rPr>
        <w:t>See</w:t>
      </w:r>
    </w:p>
    <w:p w:rsidR="005B2AC4" w:rsidRDefault="00F9337A" w:rsidP="00522CC1">
      <w:pPr>
        <w:pStyle w:val="MediumGrid21"/>
        <w:ind w:right="-274"/>
        <w:rPr>
          <w:rFonts w:ascii="Times New Roman" w:hAnsi="Times New Roman"/>
        </w:rPr>
      </w:pPr>
      <w:hyperlink r:id="rId2" w:history="1">
        <w:r w:rsidR="005B2AC4" w:rsidRPr="009D7EAE">
          <w:rPr>
            <w:rStyle w:val="Hyperlink"/>
            <w:rFonts w:ascii="Times New Roman" w:hAnsi="Times New Roman"/>
            <w:sz w:val="16"/>
            <w:szCs w:val="16"/>
          </w:rPr>
          <w:t>http://www.nonprofitlawblog.com/nonprofit-crowdfunding-risks/</w:t>
        </w:r>
      </w:hyperlink>
      <w:r w:rsidR="005B2AC4">
        <w:rPr>
          <w:rFonts w:ascii="Times New Roman" w:hAnsi="Times New Roman"/>
          <w:sz w:val="16"/>
          <w:szCs w:val="16"/>
        </w:rPr>
        <w:t xml:space="preserve">; </w:t>
      </w:r>
      <w:hyperlink r:id="rId3" w:history="1">
        <w:r w:rsidR="005B2AC4" w:rsidRPr="009D7EAE">
          <w:rPr>
            <w:rStyle w:val="Hyperlink"/>
            <w:rFonts w:ascii="Times New Roman" w:hAnsi="Times New Roman"/>
            <w:sz w:val="16"/>
            <w:szCs w:val="16"/>
          </w:rPr>
          <w:t>https://oag.ca.gov/sites/all/files/agweb/pdfs/charities/publications/crowdfunding.pdf</w:t>
        </w:r>
      </w:hyperlink>
      <w:r w:rsidR="005B2AC4">
        <w:rPr>
          <w:rFonts w:ascii="Times New Roman" w:hAnsi="Times New Roman"/>
          <w:sz w:val="16"/>
          <w:szCs w:val="16"/>
        </w:rPr>
        <w:t xml:space="preserve">; </w:t>
      </w:r>
      <w:hyperlink r:id="rId4" w:history="1">
        <w:r w:rsidR="005B2AC4" w:rsidRPr="00106578">
          <w:rPr>
            <w:rStyle w:val="Hyperlink"/>
            <w:rFonts w:ascii="Times New Roman" w:hAnsi="Times New Roman"/>
            <w:sz w:val="16"/>
            <w:szCs w:val="16"/>
          </w:rPr>
          <w:t>https://www.gofundme.com/terms</w:t>
        </w:r>
      </w:hyperlink>
      <w:r w:rsidR="005B2AC4">
        <w:rPr>
          <w:rFonts w:ascii="Times New Roman" w:hAnsi="Times New Roman"/>
          <w:sz w:val="16"/>
          <w:szCs w:val="16"/>
        </w:rPr>
        <w:t>;</w:t>
      </w:r>
      <w:r w:rsidR="00522CC1">
        <w:rPr>
          <w:rFonts w:ascii="Times New Roman" w:hAnsi="Times New Roman"/>
          <w:sz w:val="16"/>
          <w:szCs w:val="16"/>
        </w:rPr>
        <w:t xml:space="preserve"> </w:t>
      </w:r>
      <w:hyperlink r:id="rId5" w:history="1">
        <w:r w:rsidR="005B2AC4" w:rsidRPr="009D7EAE">
          <w:rPr>
            <w:rStyle w:val="Hyperlink"/>
            <w:rFonts w:ascii="Times New Roman" w:hAnsi="Times New Roman"/>
            <w:sz w:val="16"/>
            <w:szCs w:val="16"/>
          </w:rPr>
          <w:t>https://www.gofundme.com/legal</w:t>
        </w:r>
      </w:hyperlink>
      <w:r w:rsidR="00B21F86">
        <w:rPr>
          <w:rFonts w:ascii="Times New Roman" w:hAnsi="Times New Roman"/>
          <w:sz w:val="16"/>
          <w:szCs w:val="16"/>
        </w:rPr>
        <w:t>.</w:t>
      </w:r>
      <w:r w:rsidR="005B2AC4" w:rsidRPr="00F75941">
        <w:rPr>
          <w:rFonts w:ascii="Times New Roman" w:hAnsi="Times New Roman"/>
          <w:highlight w:val="yellow"/>
        </w:rPr>
        <w:t xml:space="preserve"> </w:t>
      </w:r>
    </w:p>
    <w:p w:rsidR="005B2AC4" w:rsidRDefault="005B2AC4" w:rsidP="004D2A49">
      <w:pPr>
        <w:pStyle w:val="MediumGrid21"/>
        <w:ind w:right="-270"/>
        <w:jc w:val="both"/>
        <w:rPr>
          <w:rFonts w:ascii="Times New Roman" w:hAnsi="Times New Roman"/>
        </w:rPr>
      </w:pPr>
    </w:p>
    <w:p w:rsidR="005B2AC4" w:rsidRPr="005B2AC4" w:rsidRDefault="005B2AC4" w:rsidP="004D2A49">
      <w:pPr>
        <w:pStyle w:val="FootnoteText"/>
        <w:spacing w:after="0" w:line="240" w:lineRule="auto"/>
        <w:jc w:val="both"/>
        <w:rPr>
          <w:rFonts w:ascii="Times New Roman" w:hAnsi="Times New Roman"/>
          <w:sz w:val="16"/>
          <w:szCs w:val="16"/>
        </w:rPr>
      </w:pPr>
      <w:r w:rsidRPr="005B2AC4">
        <w:rPr>
          <w:rFonts w:ascii="Times New Roman" w:hAnsi="Times New Roman"/>
          <w:sz w:val="16"/>
          <w:szCs w:val="16"/>
        </w:rPr>
        <w:t xml:space="preserve"> </w:t>
      </w:r>
    </w:p>
    <w:p w:rsidR="005B2AC4" w:rsidRPr="005B2AC4" w:rsidRDefault="005B2AC4" w:rsidP="004D2A49">
      <w:pPr>
        <w:pStyle w:val="FootnoteText"/>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2" w:rsidRDefault="00CE73B2" w:rsidP="00D52AF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73B2" w:rsidRDefault="00CE73B2" w:rsidP="005049B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7B" w:rsidRPr="00A01A06" w:rsidRDefault="00F9337A" w:rsidP="00A01A06">
    <w:pPr>
      <w:pStyle w:val="Header"/>
      <w:pBdr>
        <w:bottom w:val="thickThinSmallGap" w:sz="24" w:space="1" w:color="622423"/>
      </w:pBdr>
      <w:jc w:val="center"/>
      <w:rPr>
        <w:rFonts w:ascii="Times New Roman" w:eastAsia="Times New Roman" w:hAnsi="Times New Roman"/>
        <w:sz w:val="24"/>
        <w:szCs w:val="24"/>
      </w:rPr>
    </w:pPr>
    <w:sdt>
      <w:sdtPr>
        <w:rPr>
          <w:rFonts w:ascii="Times New Roman" w:eastAsia="Times New Roman" w:hAnsi="Times New Roman"/>
          <w:sz w:val="24"/>
          <w:szCs w:val="24"/>
        </w:rPr>
        <w:alias w:val="Title"/>
        <w:id w:val="77738743"/>
        <w:placeholder>
          <w:docPart w:val="FDD37DFE4E9D403DA6BED5062338C787"/>
        </w:placeholder>
        <w:dataBinding w:prefixMappings="xmlns:ns0='http://schemas.openxmlformats.org/package/2006/metadata/core-properties' xmlns:ns1='http://purl.org/dc/elements/1.1/'" w:xpath="/ns0:coreProperties[1]/ns1:title[1]" w:storeItemID="{6C3C8BC8-F283-45AE-878A-BAB7291924A1}"/>
        <w:text/>
      </w:sdtPr>
      <w:sdtEndPr/>
      <w:sdtContent>
        <w:r w:rsidR="002A7214">
          <w:rPr>
            <w:rFonts w:ascii="Times New Roman" w:eastAsia="Times New Roman" w:hAnsi="Times New Roman"/>
            <w:sz w:val="24"/>
            <w:szCs w:val="24"/>
          </w:rPr>
          <w:t>Case No. 17004.A   February 15, 2017</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CDA"/>
    <w:multiLevelType w:val="hybridMultilevel"/>
    <w:tmpl w:val="FD9CFBAA"/>
    <w:lvl w:ilvl="0" w:tplc="C3485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3495B"/>
    <w:multiLevelType w:val="hybridMultilevel"/>
    <w:tmpl w:val="DC0C5054"/>
    <w:lvl w:ilvl="0" w:tplc="1CF40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23B5D"/>
    <w:multiLevelType w:val="hybridMultilevel"/>
    <w:tmpl w:val="F754F614"/>
    <w:lvl w:ilvl="0" w:tplc="398AD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BB3969"/>
    <w:multiLevelType w:val="hybridMultilevel"/>
    <w:tmpl w:val="3D7C0B86"/>
    <w:lvl w:ilvl="0" w:tplc="C56662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53FC3"/>
    <w:multiLevelType w:val="hybridMultilevel"/>
    <w:tmpl w:val="F67C7648"/>
    <w:lvl w:ilvl="0" w:tplc="AABA3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21719B"/>
    <w:multiLevelType w:val="hybridMultilevel"/>
    <w:tmpl w:val="15A0F81A"/>
    <w:lvl w:ilvl="0" w:tplc="CFBAC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04"/>
    <w:rsid w:val="000016A5"/>
    <w:rsid w:val="000132D2"/>
    <w:rsid w:val="0002765B"/>
    <w:rsid w:val="000422A0"/>
    <w:rsid w:val="000437B1"/>
    <w:rsid w:val="00094E86"/>
    <w:rsid w:val="000B57A9"/>
    <w:rsid w:val="000C1B8C"/>
    <w:rsid w:val="000E3CA7"/>
    <w:rsid w:val="000E7CA6"/>
    <w:rsid w:val="00103F38"/>
    <w:rsid w:val="00107682"/>
    <w:rsid w:val="0011223B"/>
    <w:rsid w:val="00117824"/>
    <w:rsid w:val="0012474E"/>
    <w:rsid w:val="00130F60"/>
    <w:rsid w:val="00141CFE"/>
    <w:rsid w:val="00144003"/>
    <w:rsid w:val="0015334D"/>
    <w:rsid w:val="001727D3"/>
    <w:rsid w:val="001763A5"/>
    <w:rsid w:val="00191B45"/>
    <w:rsid w:val="00193B67"/>
    <w:rsid w:val="001A2463"/>
    <w:rsid w:val="001A3037"/>
    <w:rsid w:val="001B2E6B"/>
    <w:rsid w:val="001C5253"/>
    <w:rsid w:val="001D2F97"/>
    <w:rsid w:val="001E15CE"/>
    <w:rsid w:val="001E4E92"/>
    <w:rsid w:val="001F465B"/>
    <w:rsid w:val="00232C42"/>
    <w:rsid w:val="00250538"/>
    <w:rsid w:val="00253235"/>
    <w:rsid w:val="002621E1"/>
    <w:rsid w:val="00271E86"/>
    <w:rsid w:val="00292A68"/>
    <w:rsid w:val="00294FDD"/>
    <w:rsid w:val="002A0E8A"/>
    <w:rsid w:val="002A1F0B"/>
    <w:rsid w:val="002A7214"/>
    <w:rsid w:val="002A7CCD"/>
    <w:rsid w:val="002C23E5"/>
    <w:rsid w:val="002E1D7B"/>
    <w:rsid w:val="002E37BE"/>
    <w:rsid w:val="002E5710"/>
    <w:rsid w:val="00306EE5"/>
    <w:rsid w:val="00334824"/>
    <w:rsid w:val="00340924"/>
    <w:rsid w:val="003672DD"/>
    <w:rsid w:val="003A3E8C"/>
    <w:rsid w:val="003B14F0"/>
    <w:rsid w:val="003B2FE7"/>
    <w:rsid w:val="003B4F4E"/>
    <w:rsid w:val="003D49ED"/>
    <w:rsid w:val="00400561"/>
    <w:rsid w:val="00410F2D"/>
    <w:rsid w:val="00413637"/>
    <w:rsid w:val="004165FC"/>
    <w:rsid w:val="00422254"/>
    <w:rsid w:val="0044471A"/>
    <w:rsid w:val="00453963"/>
    <w:rsid w:val="00481214"/>
    <w:rsid w:val="00492547"/>
    <w:rsid w:val="00492691"/>
    <w:rsid w:val="004A0F5B"/>
    <w:rsid w:val="004A5AA5"/>
    <w:rsid w:val="004A6215"/>
    <w:rsid w:val="004B2E7F"/>
    <w:rsid w:val="004B65F4"/>
    <w:rsid w:val="004B7E18"/>
    <w:rsid w:val="004C3266"/>
    <w:rsid w:val="004C4109"/>
    <w:rsid w:val="004D2A49"/>
    <w:rsid w:val="004D7462"/>
    <w:rsid w:val="004E6383"/>
    <w:rsid w:val="00500905"/>
    <w:rsid w:val="005049BF"/>
    <w:rsid w:val="00506DA9"/>
    <w:rsid w:val="005118E8"/>
    <w:rsid w:val="0051346B"/>
    <w:rsid w:val="00522CC1"/>
    <w:rsid w:val="005438B9"/>
    <w:rsid w:val="005455CE"/>
    <w:rsid w:val="00554B4E"/>
    <w:rsid w:val="005573A9"/>
    <w:rsid w:val="00562CEC"/>
    <w:rsid w:val="0059263A"/>
    <w:rsid w:val="005A0C33"/>
    <w:rsid w:val="005A30FE"/>
    <w:rsid w:val="005A3CF7"/>
    <w:rsid w:val="005B2AC4"/>
    <w:rsid w:val="005C50F9"/>
    <w:rsid w:val="005D3343"/>
    <w:rsid w:val="005D42F8"/>
    <w:rsid w:val="005D73B1"/>
    <w:rsid w:val="0060380C"/>
    <w:rsid w:val="00622E32"/>
    <w:rsid w:val="006425D4"/>
    <w:rsid w:val="006441E7"/>
    <w:rsid w:val="00644676"/>
    <w:rsid w:val="00671D10"/>
    <w:rsid w:val="00677E85"/>
    <w:rsid w:val="00687AA1"/>
    <w:rsid w:val="006A1C9B"/>
    <w:rsid w:val="006A30C9"/>
    <w:rsid w:val="006E471C"/>
    <w:rsid w:val="007049C4"/>
    <w:rsid w:val="00712031"/>
    <w:rsid w:val="00737688"/>
    <w:rsid w:val="00740640"/>
    <w:rsid w:val="00755C04"/>
    <w:rsid w:val="00756908"/>
    <w:rsid w:val="00756E20"/>
    <w:rsid w:val="007576A7"/>
    <w:rsid w:val="00773A92"/>
    <w:rsid w:val="00783049"/>
    <w:rsid w:val="00784998"/>
    <w:rsid w:val="007935A2"/>
    <w:rsid w:val="007A7104"/>
    <w:rsid w:val="007B2D92"/>
    <w:rsid w:val="007B4A64"/>
    <w:rsid w:val="007C3266"/>
    <w:rsid w:val="007C6E97"/>
    <w:rsid w:val="007E2148"/>
    <w:rsid w:val="00802B6B"/>
    <w:rsid w:val="008227F8"/>
    <w:rsid w:val="008233E2"/>
    <w:rsid w:val="00844D16"/>
    <w:rsid w:val="00844DAF"/>
    <w:rsid w:val="0086167D"/>
    <w:rsid w:val="00894E1A"/>
    <w:rsid w:val="00897FE1"/>
    <w:rsid w:val="008B1D7A"/>
    <w:rsid w:val="008B6CA2"/>
    <w:rsid w:val="008C04D8"/>
    <w:rsid w:val="008C143B"/>
    <w:rsid w:val="008C658F"/>
    <w:rsid w:val="008C7DC7"/>
    <w:rsid w:val="008D41C7"/>
    <w:rsid w:val="008F4715"/>
    <w:rsid w:val="009145B9"/>
    <w:rsid w:val="00924261"/>
    <w:rsid w:val="00931A0F"/>
    <w:rsid w:val="00932544"/>
    <w:rsid w:val="00935B48"/>
    <w:rsid w:val="00936604"/>
    <w:rsid w:val="00956C86"/>
    <w:rsid w:val="009570DD"/>
    <w:rsid w:val="0096613B"/>
    <w:rsid w:val="00992B9B"/>
    <w:rsid w:val="009A65AE"/>
    <w:rsid w:val="009C1474"/>
    <w:rsid w:val="009C4FC5"/>
    <w:rsid w:val="009C57B4"/>
    <w:rsid w:val="00A01A06"/>
    <w:rsid w:val="00A30DF4"/>
    <w:rsid w:val="00A312AB"/>
    <w:rsid w:val="00A354B8"/>
    <w:rsid w:val="00A70AF1"/>
    <w:rsid w:val="00A82C2E"/>
    <w:rsid w:val="00A852D2"/>
    <w:rsid w:val="00A97778"/>
    <w:rsid w:val="00AA2400"/>
    <w:rsid w:val="00AC11B4"/>
    <w:rsid w:val="00AC4E69"/>
    <w:rsid w:val="00AD33DF"/>
    <w:rsid w:val="00AE412C"/>
    <w:rsid w:val="00AF2BF5"/>
    <w:rsid w:val="00AF56F1"/>
    <w:rsid w:val="00B03273"/>
    <w:rsid w:val="00B047B2"/>
    <w:rsid w:val="00B17333"/>
    <w:rsid w:val="00B21F86"/>
    <w:rsid w:val="00B319BC"/>
    <w:rsid w:val="00B9423B"/>
    <w:rsid w:val="00BC1786"/>
    <w:rsid w:val="00BC7188"/>
    <w:rsid w:val="00BD3130"/>
    <w:rsid w:val="00BE21BC"/>
    <w:rsid w:val="00BF6A33"/>
    <w:rsid w:val="00C03E51"/>
    <w:rsid w:val="00C15D43"/>
    <w:rsid w:val="00C22CE5"/>
    <w:rsid w:val="00C30C68"/>
    <w:rsid w:val="00C33A61"/>
    <w:rsid w:val="00C342C3"/>
    <w:rsid w:val="00C35688"/>
    <w:rsid w:val="00C60BD0"/>
    <w:rsid w:val="00C6234A"/>
    <w:rsid w:val="00C634F4"/>
    <w:rsid w:val="00C91B49"/>
    <w:rsid w:val="00C95ABB"/>
    <w:rsid w:val="00C9661E"/>
    <w:rsid w:val="00C96E9D"/>
    <w:rsid w:val="00CA6A83"/>
    <w:rsid w:val="00CB2EBA"/>
    <w:rsid w:val="00CC2CC5"/>
    <w:rsid w:val="00CE73B2"/>
    <w:rsid w:val="00D06848"/>
    <w:rsid w:val="00D170D5"/>
    <w:rsid w:val="00D239F2"/>
    <w:rsid w:val="00D27336"/>
    <w:rsid w:val="00D3503B"/>
    <w:rsid w:val="00D45FBD"/>
    <w:rsid w:val="00D52AFD"/>
    <w:rsid w:val="00D5328C"/>
    <w:rsid w:val="00D54E49"/>
    <w:rsid w:val="00D611CB"/>
    <w:rsid w:val="00DB16E7"/>
    <w:rsid w:val="00DB3D8F"/>
    <w:rsid w:val="00DD411C"/>
    <w:rsid w:val="00DF5FCD"/>
    <w:rsid w:val="00E00B2B"/>
    <w:rsid w:val="00E046A4"/>
    <w:rsid w:val="00E2083C"/>
    <w:rsid w:val="00E25DC8"/>
    <w:rsid w:val="00E35222"/>
    <w:rsid w:val="00E521A5"/>
    <w:rsid w:val="00E53836"/>
    <w:rsid w:val="00E543F1"/>
    <w:rsid w:val="00E5548C"/>
    <w:rsid w:val="00E65EF7"/>
    <w:rsid w:val="00E67F88"/>
    <w:rsid w:val="00E72EFE"/>
    <w:rsid w:val="00E816F7"/>
    <w:rsid w:val="00E85878"/>
    <w:rsid w:val="00EA1927"/>
    <w:rsid w:val="00EA49AA"/>
    <w:rsid w:val="00EA7667"/>
    <w:rsid w:val="00EB0922"/>
    <w:rsid w:val="00EB20C9"/>
    <w:rsid w:val="00ED76EC"/>
    <w:rsid w:val="00F0731E"/>
    <w:rsid w:val="00F07F0B"/>
    <w:rsid w:val="00F14BAD"/>
    <w:rsid w:val="00F24E08"/>
    <w:rsid w:val="00F35634"/>
    <w:rsid w:val="00F363AD"/>
    <w:rsid w:val="00F5189C"/>
    <w:rsid w:val="00F563C1"/>
    <w:rsid w:val="00F64787"/>
    <w:rsid w:val="00F706BF"/>
    <w:rsid w:val="00F74A43"/>
    <w:rsid w:val="00F75941"/>
    <w:rsid w:val="00F85E6E"/>
    <w:rsid w:val="00F91B5D"/>
    <w:rsid w:val="00F9337A"/>
    <w:rsid w:val="00F94245"/>
    <w:rsid w:val="00FA5E58"/>
    <w:rsid w:val="00FA7FA5"/>
    <w:rsid w:val="00FB04D1"/>
    <w:rsid w:val="00FB05AA"/>
    <w:rsid w:val="00FC3921"/>
    <w:rsid w:val="00FD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7A7104"/>
    <w:rPr>
      <w:sz w:val="22"/>
      <w:szCs w:val="22"/>
    </w:rPr>
  </w:style>
  <w:style w:type="paragraph" w:styleId="FootnoteText">
    <w:name w:val="footnote text"/>
    <w:basedOn w:val="Normal"/>
    <w:link w:val="FootnoteTextChar"/>
    <w:uiPriority w:val="99"/>
    <w:unhideWhenUsed/>
    <w:rsid w:val="006425D4"/>
    <w:rPr>
      <w:sz w:val="20"/>
      <w:szCs w:val="20"/>
    </w:rPr>
  </w:style>
  <w:style w:type="character" w:customStyle="1" w:styleId="FootnoteTextChar">
    <w:name w:val="Footnote Text Char"/>
    <w:basedOn w:val="DefaultParagraphFont"/>
    <w:link w:val="FootnoteText"/>
    <w:uiPriority w:val="99"/>
    <w:rsid w:val="006425D4"/>
  </w:style>
  <w:style w:type="character" w:styleId="FootnoteReference">
    <w:name w:val="footnote reference"/>
    <w:uiPriority w:val="99"/>
    <w:unhideWhenUsed/>
    <w:rsid w:val="006425D4"/>
    <w:rPr>
      <w:vertAlign w:val="superscript"/>
    </w:rPr>
  </w:style>
  <w:style w:type="paragraph" w:styleId="BodyText2">
    <w:name w:val="Body Text 2"/>
    <w:basedOn w:val="Normal"/>
    <w:link w:val="BodyText2Char"/>
    <w:unhideWhenUsed/>
    <w:rsid w:val="006425D4"/>
    <w:pPr>
      <w:spacing w:before="100" w:beforeAutospacing="1" w:after="100" w:afterAutospacing="1" w:line="240" w:lineRule="auto"/>
    </w:pPr>
    <w:rPr>
      <w:rFonts w:ascii="Times New Roman" w:eastAsia="Times New Roman" w:hAnsi="Times New Roman"/>
      <w:sz w:val="24"/>
      <w:szCs w:val="24"/>
      <w:lang w:val="en"/>
    </w:rPr>
  </w:style>
  <w:style w:type="character" w:customStyle="1" w:styleId="BodyText2Char">
    <w:name w:val="Body Text 2 Char"/>
    <w:link w:val="BodyText2"/>
    <w:rsid w:val="006425D4"/>
    <w:rPr>
      <w:rFonts w:ascii="Times New Roman" w:eastAsia="Times New Roman" w:hAnsi="Times New Roman"/>
      <w:sz w:val="24"/>
      <w:szCs w:val="24"/>
      <w:lang w:val="en"/>
    </w:rPr>
  </w:style>
  <w:style w:type="paragraph" w:styleId="BodyText3">
    <w:name w:val="Body Text 3"/>
    <w:basedOn w:val="Normal"/>
    <w:link w:val="BodyText3Char"/>
    <w:rsid w:val="006425D4"/>
    <w:pPr>
      <w:spacing w:after="120" w:line="240" w:lineRule="auto"/>
    </w:pPr>
    <w:rPr>
      <w:sz w:val="16"/>
      <w:szCs w:val="16"/>
    </w:rPr>
  </w:style>
  <w:style w:type="character" w:customStyle="1" w:styleId="BodyText3Char">
    <w:name w:val="Body Text 3 Char"/>
    <w:link w:val="BodyText3"/>
    <w:rsid w:val="006425D4"/>
    <w:rPr>
      <w:sz w:val="16"/>
      <w:szCs w:val="16"/>
    </w:rPr>
  </w:style>
  <w:style w:type="paragraph" w:styleId="BodyTextIndent2">
    <w:name w:val="Body Text Indent 2"/>
    <w:basedOn w:val="Normal"/>
    <w:link w:val="BodyTextIndent2Char"/>
    <w:rsid w:val="006425D4"/>
    <w:pPr>
      <w:spacing w:after="120" w:line="480" w:lineRule="auto"/>
      <w:ind w:left="360"/>
    </w:pPr>
    <w:rPr>
      <w:sz w:val="21"/>
    </w:rPr>
  </w:style>
  <w:style w:type="character" w:customStyle="1" w:styleId="BodyTextIndent2Char">
    <w:name w:val="Body Text Indent 2 Char"/>
    <w:link w:val="BodyTextIndent2"/>
    <w:rsid w:val="006425D4"/>
    <w:rPr>
      <w:sz w:val="21"/>
      <w:szCs w:val="22"/>
    </w:rPr>
  </w:style>
  <w:style w:type="paragraph" w:styleId="BalloonText">
    <w:name w:val="Balloon Text"/>
    <w:basedOn w:val="Normal"/>
    <w:link w:val="BalloonTextChar"/>
    <w:uiPriority w:val="99"/>
    <w:semiHidden/>
    <w:unhideWhenUsed/>
    <w:rsid w:val="008616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86167D"/>
    <w:rPr>
      <w:rFonts w:ascii="Times New Roman" w:hAnsi="Times New Roman"/>
      <w:sz w:val="18"/>
      <w:szCs w:val="18"/>
    </w:rPr>
  </w:style>
  <w:style w:type="paragraph" w:customStyle="1" w:styleId="p1">
    <w:name w:val="p1"/>
    <w:basedOn w:val="Normal"/>
    <w:rsid w:val="0051346B"/>
    <w:pPr>
      <w:spacing w:after="0" w:line="240" w:lineRule="auto"/>
    </w:pPr>
    <w:rPr>
      <w:rFonts w:ascii="Courier New" w:hAnsi="Courier New" w:cs="Courier New"/>
      <w:sz w:val="20"/>
      <w:szCs w:val="20"/>
    </w:rPr>
  </w:style>
  <w:style w:type="paragraph" w:customStyle="1" w:styleId="p2">
    <w:name w:val="p2"/>
    <w:basedOn w:val="Normal"/>
    <w:rsid w:val="0051346B"/>
    <w:pPr>
      <w:spacing w:after="0" w:line="240" w:lineRule="auto"/>
      <w:jc w:val="both"/>
    </w:pPr>
    <w:rPr>
      <w:rFonts w:ascii="Courier New" w:hAnsi="Courier New" w:cs="Courier New"/>
      <w:sz w:val="20"/>
      <w:szCs w:val="20"/>
    </w:rPr>
  </w:style>
  <w:style w:type="character" w:customStyle="1" w:styleId="s2">
    <w:name w:val="s2"/>
    <w:rsid w:val="0051346B"/>
    <w:rPr>
      <w:rFonts w:ascii="Courier" w:hAnsi="Courier" w:hint="default"/>
      <w:sz w:val="20"/>
      <w:szCs w:val="20"/>
    </w:rPr>
  </w:style>
  <w:style w:type="character" w:customStyle="1" w:styleId="s1">
    <w:name w:val="s1"/>
    <w:rsid w:val="0051346B"/>
  </w:style>
  <w:style w:type="paragraph" w:styleId="Header">
    <w:name w:val="header"/>
    <w:basedOn w:val="Normal"/>
    <w:link w:val="HeaderChar"/>
    <w:uiPriority w:val="99"/>
    <w:unhideWhenUsed/>
    <w:rsid w:val="002E1D7B"/>
    <w:pPr>
      <w:tabs>
        <w:tab w:val="center" w:pos="4680"/>
        <w:tab w:val="right" w:pos="9360"/>
      </w:tabs>
    </w:pPr>
  </w:style>
  <w:style w:type="character" w:customStyle="1" w:styleId="HeaderChar">
    <w:name w:val="Header Char"/>
    <w:link w:val="Header"/>
    <w:uiPriority w:val="99"/>
    <w:rsid w:val="002E1D7B"/>
    <w:rPr>
      <w:sz w:val="22"/>
      <w:szCs w:val="22"/>
    </w:rPr>
  </w:style>
  <w:style w:type="paragraph" w:styleId="Footer">
    <w:name w:val="footer"/>
    <w:basedOn w:val="Normal"/>
    <w:link w:val="FooterChar"/>
    <w:uiPriority w:val="99"/>
    <w:unhideWhenUsed/>
    <w:rsid w:val="002E1D7B"/>
    <w:pPr>
      <w:tabs>
        <w:tab w:val="center" w:pos="4680"/>
        <w:tab w:val="right" w:pos="9360"/>
      </w:tabs>
    </w:pPr>
  </w:style>
  <w:style w:type="character" w:customStyle="1" w:styleId="FooterChar">
    <w:name w:val="Footer Char"/>
    <w:link w:val="Footer"/>
    <w:uiPriority w:val="99"/>
    <w:rsid w:val="002E1D7B"/>
    <w:rPr>
      <w:sz w:val="22"/>
      <w:szCs w:val="22"/>
    </w:rPr>
  </w:style>
  <w:style w:type="character" w:styleId="PageNumber">
    <w:name w:val="page number"/>
    <w:uiPriority w:val="99"/>
    <w:semiHidden/>
    <w:unhideWhenUsed/>
    <w:rsid w:val="00CE73B2"/>
  </w:style>
  <w:style w:type="paragraph" w:customStyle="1" w:styleId="ColorfulShading-Accent11">
    <w:name w:val="Colorful Shading - Accent 11"/>
    <w:hidden/>
    <w:uiPriority w:val="99"/>
    <w:semiHidden/>
    <w:rsid w:val="003672DD"/>
    <w:rPr>
      <w:sz w:val="22"/>
      <w:szCs w:val="22"/>
    </w:rPr>
  </w:style>
  <w:style w:type="character" w:styleId="Hyperlink">
    <w:name w:val="Hyperlink"/>
    <w:uiPriority w:val="99"/>
    <w:unhideWhenUsed/>
    <w:rsid w:val="00936604"/>
    <w:rPr>
      <w:color w:val="0000FF"/>
      <w:u w:val="single"/>
    </w:rPr>
  </w:style>
  <w:style w:type="paragraph" w:styleId="BodyText">
    <w:name w:val="Body Text"/>
    <w:basedOn w:val="Normal"/>
    <w:link w:val="BodyTextChar"/>
    <w:uiPriority w:val="99"/>
    <w:semiHidden/>
    <w:unhideWhenUsed/>
    <w:rsid w:val="00A01A06"/>
    <w:pPr>
      <w:spacing w:after="120"/>
    </w:pPr>
  </w:style>
  <w:style w:type="character" w:customStyle="1" w:styleId="BodyTextChar">
    <w:name w:val="Body Text Char"/>
    <w:basedOn w:val="DefaultParagraphFont"/>
    <w:link w:val="BodyText"/>
    <w:uiPriority w:val="99"/>
    <w:semiHidden/>
    <w:rsid w:val="00A01A0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7A7104"/>
    <w:rPr>
      <w:sz w:val="22"/>
      <w:szCs w:val="22"/>
    </w:rPr>
  </w:style>
  <w:style w:type="paragraph" w:styleId="FootnoteText">
    <w:name w:val="footnote text"/>
    <w:basedOn w:val="Normal"/>
    <w:link w:val="FootnoteTextChar"/>
    <w:uiPriority w:val="99"/>
    <w:unhideWhenUsed/>
    <w:rsid w:val="006425D4"/>
    <w:rPr>
      <w:sz w:val="20"/>
      <w:szCs w:val="20"/>
    </w:rPr>
  </w:style>
  <w:style w:type="character" w:customStyle="1" w:styleId="FootnoteTextChar">
    <w:name w:val="Footnote Text Char"/>
    <w:basedOn w:val="DefaultParagraphFont"/>
    <w:link w:val="FootnoteText"/>
    <w:uiPriority w:val="99"/>
    <w:rsid w:val="006425D4"/>
  </w:style>
  <w:style w:type="character" w:styleId="FootnoteReference">
    <w:name w:val="footnote reference"/>
    <w:uiPriority w:val="99"/>
    <w:unhideWhenUsed/>
    <w:rsid w:val="006425D4"/>
    <w:rPr>
      <w:vertAlign w:val="superscript"/>
    </w:rPr>
  </w:style>
  <w:style w:type="paragraph" w:styleId="BodyText2">
    <w:name w:val="Body Text 2"/>
    <w:basedOn w:val="Normal"/>
    <w:link w:val="BodyText2Char"/>
    <w:unhideWhenUsed/>
    <w:rsid w:val="006425D4"/>
    <w:pPr>
      <w:spacing w:before="100" w:beforeAutospacing="1" w:after="100" w:afterAutospacing="1" w:line="240" w:lineRule="auto"/>
    </w:pPr>
    <w:rPr>
      <w:rFonts w:ascii="Times New Roman" w:eastAsia="Times New Roman" w:hAnsi="Times New Roman"/>
      <w:sz w:val="24"/>
      <w:szCs w:val="24"/>
      <w:lang w:val="en"/>
    </w:rPr>
  </w:style>
  <w:style w:type="character" w:customStyle="1" w:styleId="BodyText2Char">
    <w:name w:val="Body Text 2 Char"/>
    <w:link w:val="BodyText2"/>
    <w:rsid w:val="006425D4"/>
    <w:rPr>
      <w:rFonts w:ascii="Times New Roman" w:eastAsia="Times New Roman" w:hAnsi="Times New Roman"/>
      <w:sz w:val="24"/>
      <w:szCs w:val="24"/>
      <w:lang w:val="en"/>
    </w:rPr>
  </w:style>
  <w:style w:type="paragraph" w:styleId="BodyText3">
    <w:name w:val="Body Text 3"/>
    <w:basedOn w:val="Normal"/>
    <w:link w:val="BodyText3Char"/>
    <w:rsid w:val="006425D4"/>
    <w:pPr>
      <w:spacing w:after="120" w:line="240" w:lineRule="auto"/>
    </w:pPr>
    <w:rPr>
      <w:sz w:val="16"/>
      <w:szCs w:val="16"/>
    </w:rPr>
  </w:style>
  <w:style w:type="character" w:customStyle="1" w:styleId="BodyText3Char">
    <w:name w:val="Body Text 3 Char"/>
    <w:link w:val="BodyText3"/>
    <w:rsid w:val="006425D4"/>
    <w:rPr>
      <w:sz w:val="16"/>
      <w:szCs w:val="16"/>
    </w:rPr>
  </w:style>
  <w:style w:type="paragraph" w:styleId="BodyTextIndent2">
    <w:name w:val="Body Text Indent 2"/>
    <w:basedOn w:val="Normal"/>
    <w:link w:val="BodyTextIndent2Char"/>
    <w:rsid w:val="006425D4"/>
    <w:pPr>
      <w:spacing w:after="120" w:line="480" w:lineRule="auto"/>
      <w:ind w:left="360"/>
    </w:pPr>
    <w:rPr>
      <w:sz w:val="21"/>
    </w:rPr>
  </w:style>
  <w:style w:type="character" w:customStyle="1" w:styleId="BodyTextIndent2Char">
    <w:name w:val="Body Text Indent 2 Char"/>
    <w:link w:val="BodyTextIndent2"/>
    <w:rsid w:val="006425D4"/>
    <w:rPr>
      <w:sz w:val="21"/>
      <w:szCs w:val="22"/>
    </w:rPr>
  </w:style>
  <w:style w:type="paragraph" w:styleId="BalloonText">
    <w:name w:val="Balloon Text"/>
    <w:basedOn w:val="Normal"/>
    <w:link w:val="BalloonTextChar"/>
    <w:uiPriority w:val="99"/>
    <w:semiHidden/>
    <w:unhideWhenUsed/>
    <w:rsid w:val="008616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86167D"/>
    <w:rPr>
      <w:rFonts w:ascii="Times New Roman" w:hAnsi="Times New Roman"/>
      <w:sz w:val="18"/>
      <w:szCs w:val="18"/>
    </w:rPr>
  </w:style>
  <w:style w:type="paragraph" w:customStyle="1" w:styleId="p1">
    <w:name w:val="p1"/>
    <w:basedOn w:val="Normal"/>
    <w:rsid w:val="0051346B"/>
    <w:pPr>
      <w:spacing w:after="0" w:line="240" w:lineRule="auto"/>
    </w:pPr>
    <w:rPr>
      <w:rFonts w:ascii="Courier New" w:hAnsi="Courier New" w:cs="Courier New"/>
      <w:sz w:val="20"/>
      <w:szCs w:val="20"/>
    </w:rPr>
  </w:style>
  <w:style w:type="paragraph" w:customStyle="1" w:styleId="p2">
    <w:name w:val="p2"/>
    <w:basedOn w:val="Normal"/>
    <w:rsid w:val="0051346B"/>
    <w:pPr>
      <w:spacing w:after="0" w:line="240" w:lineRule="auto"/>
      <w:jc w:val="both"/>
    </w:pPr>
    <w:rPr>
      <w:rFonts w:ascii="Courier New" w:hAnsi="Courier New" w:cs="Courier New"/>
      <w:sz w:val="20"/>
      <w:szCs w:val="20"/>
    </w:rPr>
  </w:style>
  <w:style w:type="character" w:customStyle="1" w:styleId="s2">
    <w:name w:val="s2"/>
    <w:rsid w:val="0051346B"/>
    <w:rPr>
      <w:rFonts w:ascii="Courier" w:hAnsi="Courier" w:hint="default"/>
      <w:sz w:val="20"/>
      <w:szCs w:val="20"/>
    </w:rPr>
  </w:style>
  <w:style w:type="character" w:customStyle="1" w:styleId="s1">
    <w:name w:val="s1"/>
    <w:rsid w:val="0051346B"/>
  </w:style>
  <w:style w:type="paragraph" w:styleId="Header">
    <w:name w:val="header"/>
    <w:basedOn w:val="Normal"/>
    <w:link w:val="HeaderChar"/>
    <w:uiPriority w:val="99"/>
    <w:unhideWhenUsed/>
    <w:rsid w:val="002E1D7B"/>
    <w:pPr>
      <w:tabs>
        <w:tab w:val="center" w:pos="4680"/>
        <w:tab w:val="right" w:pos="9360"/>
      </w:tabs>
    </w:pPr>
  </w:style>
  <w:style w:type="character" w:customStyle="1" w:styleId="HeaderChar">
    <w:name w:val="Header Char"/>
    <w:link w:val="Header"/>
    <w:uiPriority w:val="99"/>
    <w:rsid w:val="002E1D7B"/>
    <w:rPr>
      <w:sz w:val="22"/>
      <w:szCs w:val="22"/>
    </w:rPr>
  </w:style>
  <w:style w:type="paragraph" w:styleId="Footer">
    <w:name w:val="footer"/>
    <w:basedOn w:val="Normal"/>
    <w:link w:val="FooterChar"/>
    <w:uiPriority w:val="99"/>
    <w:unhideWhenUsed/>
    <w:rsid w:val="002E1D7B"/>
    <w:pPr>
      <w:tabs>
        <w:tab w:val="center" w:pos="4680"/>
        <w:tab w:val="right" w:pos="9360"/>
      </w:tabs>
    </w:pPr>
  </w:style>
  <w:style w:type="character" w:customStyle="1" w:styleId="FooterChar">
    <w:name w:val="Footer Char"/>
    <w:link w:val="Footer"/>
    <w:uiPriority w:val="99"/>
    <w:rsid w:val="002E1D7B"/>
    <w:rPr>
      <w:sz w:val="22"/>
      <w:szCs w:val="22"/>
    </w:rPr>
  </w:style>
  <w:style w:type="character" w:styleId="PageNumber">
    <w:name w:val="page number"/>
    <w:uiPriority w:val="99"/>
    <w:semiHidden/>
    <w:unhideWhenUsed/>
    <w:rsid w:val="00CE73B2"/>
  </w:style>
  <w:style w:type="paragraph" w:customStyle="1" w:styleId="ColorfulShading-Accent11">
    <w:name w:val="Colorful Shading - Accent 11"/>
    <w:hidden/>
    <w:uiPriority w:val="99"/>
    <w:semiHidden/>
    <w:rsid w:val="003672DD"/>
    <w:rPr>
      <w:sz w:val="22"/>
      <w:szCs w:val="22"/>
    </w:rPr>
  </w:style>
  <w:style w:type="character" w:styleId="Hyperlink">
    <w:name w:val="Hyperlink"/>
    <w:uiPriority w:val="99"/>
    <w:unhideWhenUsed/>
    <w:rsid w:val="00936604"/>
    <w:rPr>
      <w:color w:val="0000FF"/>
      <w:u w:val="single"/>
    </w:rPr>
  </w:style>
  <w:style w:type="paragraph" w:styleId="BodyText">
    <w:name w:val="Body Text"/>
    <w:basedOn w:val="Normal"/>
    <w:link w:val="BodyTextChar"/>
    <w:uiPriority w:val="99"/>
    <w:semiHidden/>
    <w:unhideWhenUsed/>
    <w:rsid w:val="00A01A06"/>
    <w:pPr>
      <w:spacing w:after="120"/>
    </w:pPr>
  </w:style>
  <w:style w:type="character" w:customStyle="1" w:styleId="BodyTextChar">
    <w:name w:val="Body Text Char"/>
    <w:basedOn w:val="DefaultParagraphFont"/>
    <w:link w:val="BodyText"/>
    <w:uiPriority w:val="99"/>
    <w:semiHidden/>
    <w:rsid w:val="00A01A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4840">
      <w:bodyDiv w:val="1"/>
      <w:marLeft w:val="0"/>
      <w:marRight w:val="0"/>
      <w:marTop w:val="0"/>
      <w:marBottom w:val="0"/>
      <w:divBdr>
        <w:top w:val="none" w:sz="0" w:space="0" w:color="auto"/>
        <w:left w:val="none" w:sz="0" w:space="0" w:color="auto"/>
        <w:bottom w:val="none" w:sz="0" w:space="0" w:color="auto"/>
        <w:right w:val="none" w:sz="0" w:space="0" w:color="auto"/>
      </w:divBdr>
    </w:div>
    <w:div w:id="6670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ag.ca.gov/sites/all/files/agweb/pdfs/charities/publications/crowdfunding.pdf" TargetMode="External"/><Relationship Id="rId2" Type="http://schemas.openxmlformats.org/officeDocument/2006/relationships/hyperlink" Target="http://www.nonprofitlawblog.com/nonprofit-crowdfunding-risks/" TargetMode="External"/><Relationship Id="rId1" Type="http://schemas.openxmlformats.org/officeDocument/2006/relationships/hyperlink" Target="https://crowdfundinglegalnews.files.wordpress.com/2015/05/hb-3429-final1.pdf" TargetMode="External"/><Relationship Id="rId5" Type="http://schemas.openxmlformats.org/officeDocument/2006/relationships/hyperlink" Target="https://www.gofundme.com/legal" TargetMode="External"/><Relationship Id="rId4" Type="http://schemas.openxmlformats.org/officeDocument/2006/relationships/hyperlink" Target="https://www.gofundme.com/term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D37DFE4E9D403DA6BED5062338C787"/>
        <w:category>
          <w:name w:val="General"/>
          <w:gallery w:val="placeholder"/>
        </w:category>
        <w:types>
          <w:type w:val="bbPlcHdr"/>
        </w:types>
        <w:behaviors>
          <w:behavior w:val="content"/>
        </w:behaviors>
        <w:guid w:val="{8D369C89-6014-4076-99B4-C1A2660F1B1F}"/>
      </w:docPartPr>
      <w:docPartBody>
        <w:p w:rsidR="00276C4F" w:rsidRDefault="00BB553A" w:rsidP="00BB553A">
          <w:pPr>
            <w:pStyle w:val="FDD37DFE4E9D403DA6BED5062338C78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3A"/>
    <w:rsid w:val="00276C4F"/>
    <w:rsid w:val="002E4930"/>
    <w:rsid w:val="00423730"/>
    <w:rsid w:val="00A86F81"/>
    <w:rsid w:val="00BB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37DFE4E9D403DA6BED5062338C787">
    <w:name w:val="FDD37DFE4E9D403DA6BED5062338C787"/>
    <w:rsid w:val="00BB553A"/>
  </w:style>
  <w:style w:type="paragraph" w:customStyle="1" w:styleId="6AE441668FD340E1B1834BA116875BF2">
    <w:name w:val="6AE441668FD340E1B1834BA116875BF2"/>
    <w:rsid w:val="00A86F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37DFE4E9D403DA6BED5062338C787">
    <w:name w:val="FDD37DFE4E9D403DA6BED5062338C787"/>
    <w:rsid w:val="00BB553A"/>
  </w:style>
  <w:style w:type="paragraph" w:customStyle="1" w:styleId="6AE441668FD340E1B1834BA116875BF2">
    <w:name w:val="6AE441668FD340E1B1834BA116875BF2"/>
    <w:rsid w:val="00A86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6F9358-8CE3-4E23-9593-D112D1F5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Case No. 17004.A   February 15, 2017</vt:lpstr>
    </vt:vector>
  </TitlesOfParts>
  <Company>City of Chicago</Company>
  <LinksUpToDate>false</LinksUpToDate>
  <CharactersWithSpaces>9991</CharactersWithSpaces>
  <SharedDoc>false</SharedDoc>
  <HLinks>
    <vt:vector size="36" baseType="variant">
      <vt:variant>
        <vt:i4>3801128</vt:i4>
      </vt:variant>
      <vt:variant>
        <vt:i4>15</vt:i4>
      </vt:variant>
      <vt:variant>
        <vt:i4>0</vt:i4>
      </vt:variant>
      <vt:variant>
        <vt:i4>5</vt:i4>
      </vt:variant>
      <vt:variant>
        <vt:lpwstr>https://www.gofundme.com/legal</vt:lpwstr>
      </vt:variant>
      <vt:variant>
        <vt:lpwstr/>
      </vt:variant>
      <vt:variant>
        <vt:i4>2621476</vt:i4>
      </vt:variant>
      <vt:variant>
        <vt:i4>12</vt:i4>
      </vt:variant>
      <vt:variant>
        <vt:i4>0</vt:i4>
      </vt:variant>
      <vt:variant>
        <vt:i4>5</vt:i4>
      </vt:variant>
      <vt:variant>
        <vt:lpwstr>https://www.gofundme.com/terms</vt:lpwstr>
      </vt:variant>
      <vt:variant>
        <vt:lpwstr/>
      </vt:variant>
      <vt:variant>
        <vt:i4>524300</vt:i4>
      </vt:variant>
      <vt:variant>
        <vt:i4>9</vt:i4>
      </vt:variant>
      <vt:variant>
        <vt:i4>0</vt:i4>
      </vt:variant>
      <vt:variant>
        <vt:i4>5</vt:i4>
      </vt:variant>
      <vt:variant>
        <vt:lpwstr>https://oag.ca.gov/sites/all/files/agweb/pdfs/charities/publications/crowdfunding.pdf</vt:lpwstr>
      </vt:variant>
      <vt:variant>
        <vt:lpwstr/>
      </vt:variant>
      <vt:variant>
        <vt:i4>786447</vt:i4>
      </vt:variant>
      <vt:variant>
        <vt:i4>6</vt:i4>
      </vt:variant>
      <vt:variant>
        <vt:i4>0</vt:i4>
      </vt:variant>
      <vt:variant>
        <vt:i4>5</vt:i4>
      </vt:variant>
      <vt:variant>
        <vt:lpwstr>http://www.nonprofitlawblog.com/nonprofit-crowdfunding-risks/</vt:lpwstr>
      </vt:variant>
      <vt:variant>
        <vt:lpwstr/>
      </vt:variant>
      <vt:variant>
        <vt:i4>1835085</vt:i4>
      </vt:variant>
      <vt:variant>
        <vt:i4>3</vt:i4>
      </vt:variant>
      <vt:variant>
        <vt:i4>0</vt:i4>
      </vt:variant>
      <vt:variant>
        <vt:i4>5</vt:i4>
      </vt:variant>
      <vt:variant>
        <vt:lpwstr>https://crowdfundinglegalnews.files.wordpress.com/2015/05/hb-3429-final1.pdf</vt:lpwstr>
      </vt:variant>
      <vt:variant>
        <vt:lpwstr/>
      </vt:variant>
      <vt:variant>
        <vt:i4>65629</vt:i4>
      </vt:variant>
      <vt:variant>
        <vt:i4>0</vt:i4>
      </vt:variant>
      <vt:variant>
        <vt:i4>0</vt:i4>
      </vt:variant>
      <vt:variant>
        <vt:i4>5</vt:i4>
      </vt:variant>
      <vt:variant>
        <vt:lpwstr>https://www.cityofchicago.org/city/en/depts/ethics.html/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17004.A   February 15, 2017</dc:title>
  <dc:creator>Superfine, Richard</dc:creator>
  <cp:lastModifiedBy>Administrator</cp:lastModifiedBy>
  <cp:revision>13</cp:revision>
  <cp:lastPrinted>2017-02-15T19:05:00Z</cp:lastPrinted>
  <dcterms:created xsi:type="dcterms:W3CDTF">2017-02-14T23:31:00Z</dcterms:created>
  <dcterms:modified xsi:type="dcterms:W3CDTF">2017-02-16T18:03:00Z</dcterms:modified>
</cp:coreProperties>
</file>