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74" w:rsidRDefault="00F56E74" w:rsidP="00F56E74">
      <w:pPr>
        <w:rPr>
          <w:b/>
          <w:bCs/>
        </w:rPr>
      </w:pPr>
    </w:p>
    <w:p w:rsidR="00F56E74" w:rsidRDefault="00F56E74" w:rsidP="00F56E74">
      <w:pPr>
        <w:rPr>
          <w:b/>
          <w:bCs/>
        </w:rPr>
      </w:pPr>
    </w:p>
    <w:p w:rsidR="00F56E74" w:rsidRDefault="00F56E74" w:rsidP="00F56E74">
      <w:pPr>
        <w:rPr>
          <w:b/>
          <w:bCs/>
        </w:rPr>
      </w:pPr>
    </w:p>
    <w:p w:rsidR="00F56E74" w:rsidRDefault="00F56E74" w:rsidP="00F56E74">
      <w:pPr>
        <w:rPr>
          <w:b/>
          <w:bCs/>
        </w:rPr>
      </w:pPr>
    </w:p>
    <w:p w:rsidR="00F56E74" w:rsidRDefault="00F56E74" w:rsidP="00F56E74">
      <w:pPr>
        <w:rPr>
          <w:b/>
          <w:bCs/>
        </w:rPr>
      </w:pPr>
    </w:p>
    <w:p w:rsidR="00F56E74" w:rsidRDefault="00F56E74" w:rsidP="00F56E74">
      <w:pPr>
        <w:rPr>
          <w:b/>
          <w:bCs/>
        </w:rPr>
      </w:pPr>
    </w:p>
    <w:p w:rsidR="00F56E74" w:rsidRPr="00801A5D" w:rsidRDefault="00F56E74" w:rsidP="00F56E74">
      <w:pPr>
        <w:rPr>
          <w:b/>
          <w:bCs/>
          <w:sz w:val="22"/>
          <w:szCs w:val="22"/>
        </w:rPr>
      </w:pPr>
    </w:p>
    <w:p w:rsidR="00F56E74" w:rsidRPr="00801A5D" w:rsidRDefault="00F56E74" w:rsidP="00F56E74">
      <w:pPr>
        <w:rPr>
          <w:rFonts w:ascii="Calibri" w:hAnsi="Calibri" w:cs="Calibri"/>
          <w:b/>
          <w:bCs/>
          <w:sz w:val="22"/>
          <w:szCs w:val="22"/>
        </w:rPr>
      </w:pPr>
      <w:r w:rsidRPr="00801A5D">
        <w:rPr>
          <w:rFonts w:ascii="Calibri" w:hAnsi="Calibri" w:cs="Calibri"/>
          <w:b/>
          <w:bCs/>
          <w:sz w:val="22"/>
          <w:szCs w:val="22"/>
        </w:rPr>
        <w:t>CONFIDENTIAL</w:t>
      </w:r>
    </w:p>
    <w:p w:rsidR="00F56E74" w:rsidRPr="00801A5D" w:rsidRDefault="00F56E74" w:rsidP="00F56E74">
      <w:pPr>
        <w:rPr>
          <w:rFonts w:ascii="Calibri" w:hAnsi="Calibri" w:cs="Calibri"/>
          <w:sz w:val="22"/>
          <w:szCs w:val="22"/>
        </w:rPr>
      </w:pPr>
    </w:p>
    <w:p w:rsidR="00FC185C" w:rsidRDefault="00373BE6" w:rsidP="00F56E74">
      <w:pPr>
        <w:rPr>
          <w:rFonts w:ascii="Calibri" w:hAnsi="Calibri" w:cs="Calibri"/>
          <w:sz w:val="22"/>
          <w:szCs w:val="22"/>
        </w:rPr>
      </w:pPr>
      <w:r>
        <w:rPr>
          <w:rFonts w:ascii="Calibri" w:hAnsi="Calibri" w:cs="Calibri"/>
          <w:sz w:val="22"/>
          <w:szCs w:val="22"/>
        </w:rPr>
        <w:t>[Date]</w:t>
      </w:r>
    </w:p>
    <w:p w:rsidR="00373BE6" w:rsidRDefault="00373BE6" w:rsidP="00F56E74">
      <w:pPr>
        <w:rPr>
          <w:rFonts w:ascii="Calibri" w:hAnsi="Calibri" w:cs="Calibri"/>
          <w:b/>
          <w:bCs/>
          <w:sz w:val="22"/>
          <w:szCs w:val="22"/>
        </w:rPr>
      </w:pPr>
    </w:p>
    <w:p w:rsidR="00847829" w:rsidRDefault="00373BE6" w:rsidP="00847829">
      <w:pPr>
        <w:widowControl/>
        <w:shd w:val="clear" w:color="auto" w:fill="FFFFFF"/>
        <w:autoSpaceDE/>
        <w:autoSpaceDN/>
        <w:adjustRightInd/>
        <w:rPr>
          <w:rFonts w:ascii="Calibri" w:hAnsi="Calibri" w:cs="Calibri"/>
          <w:bCs/>
          <w:color w:val="000000"/>
          <w:sz w:val="22"/>
          <w:szCs w:val="22"/>
          <w:shd w:val="clear" w:color="auto" w:fill="FFFFFF"/>
        </w:rPr>
      </w:pPr>
      <w:r>
        <w:rPr>
          <w:rFonts w:ascii="Calibri" w:hAnsi="Calibri" w:cs="Calibri"/>
          <w:bCs/>
          <w:color w:val="000000"/>
          <w:sz w:val="22"/>
          <w:szCs w:val="22"/>
          <w:shd w:val="clear" w:color="auto" w:fill="FFFFFF"/>
        </w:rPr>
        <w:t>Name</w:t>
      </w:r>
    </w:p>
    <w:p w:rsidR="00847829" w:rsidRDefault="00373BE6" w:rsidP="00847829">
      <w:pPr>
        <w:widowControl/>
        <w:shd w:val="clear" w:color="auto" w:fill="FFFFFF"/>
        <w:autoSpaceDE/>
        <w:autoSpaceDN/>
        <w:adjustRightInd/>
        <w:rPr>
          <w:rFonts w:ascii="Calibri" w:hAnsi="Calibri" w:cs="Calibri"/>
          <w:bCs/>
          <w:color w:val="000000"/>
          <w:sz w:val="22"/>
          <w:szCs w:val="22"/>
          <w:shd w:val="clear" w:color="auto" w:fill="FFFFFF"/>
        </w:rPr>
      </w:pPr>
      <w:r>
        <w:rPr>
          <w:rFonts w:ascii="Calibri" w:hAnsi="Calibri" w:cs="Calibri"/>
          <w:bCs/>
          <w:color w:val="000000"/>
          <w:sz w:val="22"/>
          <w:szCs w:val="22"/>
          <w:shd w:val="clear" w:color="auto" w:fill="FFFFFF"/>
        </w:rPr>
        <w:t xml:space="preserve"> </w:t>
      </w:r>
    </w:p>
    <w:p w:rsidR="00847829" w:rsidRDefault="00847829" w:rsidP="00847829">
      <w:pPr>
        <w:widowControl/>
        <w:shd w:val="clear" w:color="auto" w:fill="FFFFFF"/>
        <w:autoSpaceDE/>
        <w:autoSpaceDN/>
        <w:adjustRightInd/>
        <w:rPr>
          <w:rFonts w:ascii="Calibri" w:hAnsi="Calibri" w:cs="Calibri"/>
          <w:bCs/>
          <w:color w:val="000000"/>
          <w:sz w:val="22"/>
          <w:szCs w:val="22"/>
          <w:shd w:val="clear" w:color="auto" w:fill="FFFFFF"/>
        </w:rPr>
      </w:pPr>
      <w:r>
        <w:rPr>
          <w:rFonts w:ascii="Calibri" w:hAnsi="Calibri" w:cs="Calibri"/>
          <w:bCs/>
          <w:color w:val="000000"/>
          <w:sz w:val="22"/>
          <w:szCs w:val="22"/>
          <w:shd w:val="clear" w:color="auto" w:fill="FFFFFF"/>
        </w:rPr>
        <w:t>City of Chicago</w:t>
      </w:r>
    </w:p>
    <w:p w:rsidR="00847829" w:rsidRDefault="00373BE6" w:rsidP="00847829">
      <w:pPr>
        <w:widowControl/>
        <w:shd w:val="clear" w:color="auto" w:fill="FFFFFF"/>
        <w:autoSpaceDE/>
        <w:autoSpaceDN/>
        <w:adjustRightInd/>
        <w:rPr>
          <w:rFonts w:ascii="Calibri" w:hAnsi="Calibri" w:cs="Calibri"/>
          <w:bCs/>
          <w:color w:val="000000"/>
          <w:sz w:val="22"/>
          <w:szCs w:val="22"/>
          <w:shd w:val="clear" w:color="auto" w:fill="FFFFFF"/>
        </w:rPr>
      </w:pPr>
      <w:r>
        <w:rPr>
          <w:rFonts w:ascii="Calibri" w:hAnsi="Calibri" w:cs="Calibri"/>
          <w:bCs/>
          <w:color w:val="000000"/>
          <w:sz w:val="22"/>
          <w:szCs w:val="22"/>
          <w:shd w:val="clear" w:color="auto" w:fill="FFFFFF"/>
        </w:rPr>
        <w:t xml:space="preserve"> </w:t>
      </w:r>
    </w:p>
    <w:p w:rsidR="00847829" w:rsidRDefault="00373BE6" w:rsidP="00847829">
      <w:pPr>
        <w:widowControl/>
        <w:shd w:val="clear" w:color="auto" w:fill="FFFFFF"/>
        <w:autoSpaceDE/>
        <w:autoSpaceDN/>
        <w:adjustRightInd/>
        <w:rPr>
          <w:rFonts w:ascii="Calibri" w:hAnsi="Calibri" w:cs="Calibri"/>
          <w:bCs/>
          <w:color w:val="000000"/>
          <w:sz w:val="22"/>
          <w:szCs w:val="22"/>
          <w:shd w:val="clear" w:color="auto" w:fill="FFFFFF"/>
        </w:rPr>
      </w:pPr>
      <w:r>
        <w:rPr>
          <w:rFonts w:ascii="Calibri" w:hAnsi="Calibri" w:cs="Calibri"/>
          <w:bCs/>
          <w:color w:val="000000"/>
          <w:sz w:val="22"/>
          <w:szCs w:val="22"/>
          <w:shd w:val="clear" w:color="auto" w:fill="FFFFFF"/>
        </w:rPr>
        <w:t xml:space="preserve"> </w:t>
      </w:r>
    </w:p>
    <w:p w:rsidR="00847829" w:rsidRDefault="00847829" w:rsidP="00847829">
      <w:pPr>
        <w:widowControl/>
        <w:shd w:val="clear" w:color="auto" w:fill="FFFFFF"/>
        <w:autoSpaceDE/>
        <w:autoSpaceDN/>
        <w:adjustRightInd/>
        <w:rPr>
          <w:rFonts w:ascii="Calibri" w:hAnsi="Calibri" w:cs="Calibri"/>
          <w:bCs/>
          <w:color w:val="000000"/>
          <w:sz w:val="22"/>
          <w:szCs w:val="22"/>
          <w:shd w:val="clear" w:color="auto" w:fill="FFFFFF"/>
        </w:rPr>
      </w:pPr>
      <w:r>
        <w:rPr>
          <w:rFonts w:ascii="Calibri" w:hAnsi="Calibri" w:cs="Calibri"/>
          <w:bCs/>
          <w:color w:val="000000"/>
          <w:sz w:val="22"/>
          <w:szCs w:val="22"/>
          <w:shd w:val="clear" w:color="auto" w:fill="FFFFFF"/>
        </w:rPr>
        <w:t xml:space="preserve">Chicago, </w:t>
      </w:r>
      <w:proofErr w:type="gramStart"/>
      <w:r>
        <w:rPr>
          <w:rFonts w:ascii="Calibri" w:hAnsi="Calibri" w:cs="Calibri"/>
          <w:bCs/>
          <w:color w:val="000000"/>
          <w:sz w:val="22"/>
          <w:szCs w:val="22"/>
          <w:shd w:val="clear" w:color="auto" w:fill="FFFFFF"/>
        </w:rPr>
        <w:t>IL  606</w:t>
      </w:r>
      <w:proofErr w:type="gramEnd"/>
      <w:r w:rsidR="00373BE6">
        <w:rPr>
          <w:rFonts w:ascii="Calibri" w:hAnsi="Calibri" w:cs="Calibri"/>
          <w:bCs/>
          <w:color w:val="000000"/>
          <w:sz w:val="22"/>
          <w:szCs w:val="22"/>
          <w:shd w:val="clear" w:color="auto" w:fill="FFFFFF"/>
        </w:rPr>
        <w:t xml:space="preserve">  </w:t>
      </w:r>
    </w:p>
    <w:p w:rsidR="003770E4" w:rsidRDefault="003770E4" w:rsidP="00F56E74">
      <w:pPr>
        <w:ind w:left="720"/>
        <w:rPr>
          <w:rFonts w:ascii="Calibri" w:hAnsi="Calibri" w:cs="Calibri"/>
          <w:sz w:val="22"/>
          <w:szCs w:val="22"/>
        </w:rPr>
      </w:pPr>
    </w:p>
    <w:p w:rsidR="00F56E74" w:rsidRPr="00801A5D" w:rsidRDefault="00F56E74" w:rsidP="00F56E74">
      <w:pPr>
        <w:ind w:left="720"/>
        <w:rPr>
          <w:rFonts w:ascii="Calibri" w:hAnsi="Calibri" w:cs="Calibri"/>
          <w:bCs/>
          <w:sz w:val="22"/>
          <w:szCs w:val="22"/>
        </w:rPr>
      </w:pPr>
      <w:r w:rsidRPr="00801A5D">
        <w:rPr>
          <w:rFonts w:ascii="Calibri" w:hAnsi="Calibri" w:cs="Calibri"/>
          <w:b/>
          <w:bCs/>
          <w:sz w:val="22"/>
          <w:szCs w:val="22"/>
        </w:rPr>
        <w:t>Re:</w:t>
      </w:r>
      <w:r w:rsidRPr="00801A5D">
        <w:rPr>
          <w:rFonts w:ascii="Calibri" w:hAnsi="Calibri" w:cs="Calibri"/>
          <w:b/>
          <w:bCs/>
          <w:sz w:val="22"/>
          <w:szCs w:val="22"/>
        </w:rPr>
        <w:tab/>
        <w:t>Case No</w:t>
      </w:r>
      <w:r w:rsidR="00F0735F" w:rsidRPr="00801A5D">
        <w:rPr>
          <w:rFonts w:ascii="Calibri" w:hAnsi="Calibri" w:cs="Calibri"/>
          <w:b/>
          <w:bCs/>
          <w:sz w:val="22"/>
          <w:szCs w:val="22"/>
        </w:rPr>
        <w:t xml:space="preserve">. </w:t>
      </w:r>
      <w:r w:rsidR="00847829">
        <w:rPr>
          <w:rFonts w:ascii="Calibri" w:hAnsi="Calibri" w:cs="Calibri"/>
          <w:b/>
          <w:bCs/>
          <w:sz w:val="22"/>
          <w:szCs w:val="22"/>
        </w:rPr>
        <w:t xml:space="preserve"> 151698</w:t>
      </w:r>
      <w:proofErr w:type="gramStart"/>
      <w:r w:rsidR="00F0735F" w:rsidRPr="00801A5D">
        <w:rPr>
          <w:rFonts w:ascii="Calibri" w:hAnsi="Calibri" w:cs="Calibri"/>
          <w:b/>
          <w:bCs/>
          <w:sz w:val="22"/>
          <w:szCs w:val="22"/>
        </w:rPr>
        <w:t>.A</w:t>
      </w:r>
      <w:proofErr w:type="gramEnd"/>
      <w:r w:rsidR="00FC185C">
        <w:rPr>
          <w:rFonts w:ascii="Calibri" w:hAnsi="Calibri" w:cs="Calibri"/>
          <w:b/>
          <w:bCs/>
          <w:sz w:val="22"/>
          <w:szCs w:val="22"/>
        </w:rPr>
        <w:t xml:space="preserve"> – Request for Reconsideration</w:t>
      </w:r>
    </w:p>
    <w:p w:rsidR="00F56E74" w:rsidRPr="00801A5D" w:rsidRDefault="00F56E74" w:rsidP="00F56E74">
      <w:pPr>
        <w:rPr>
          <w:rFonts w:ascii="Calibri" w:hAnsi="Calibri" w:cs="Calibri"/>
          <w:bCs/>
          <w:sz w:val="22"/>
          <w:szCs w:val="22"/>
        </w:rPr>
      </w:pPr>
    </w:p>
    <w:p w:rsidR="00F56E74" w:rsidRPr="00801A5D" w:rsidRDefault="00AC333A" w:rsidP="00F56E74">
      <w:pPr>
        <w:rPr>
          <w:rFonts w:ascii="Calibri" w:hAnsi="Calibri" w:cs="Calibri"/>
          <w:bCs/>
          <w:sz w:val="22"/>
          <w:szCs w:val="22"/>
        </w:rPr>
      </w:pPr>
      <w:r w:rsidRPr="00801A5D">
        <w:rPr>
          <w:rFonts w:ascii="Calibri" w:hAnsi="Calibri" w:cs="Calibri"/>
          <w:bCs/>
          <w:sz w:val="22"/>
          <w:szCs w:val="22"/>
        </w:rPr>
        <w:t xml:space="preserve">Dear </w:t>
      </w:r>
      <w:r w:rsidR="00373BE6">
        <w:rPr>
          <w:rFonts w:ascii="Calibri" w:hAnsi="Calibri" w:cs="Calibri"/>
          <w:bCs/>
          <w:sz w:val="22"/>
          <w:szCs w:val="22"/>
        </w:rPr>
        <w:t>___________</w:t>
      </w:r>
      <w:r w:rsidR="00F56E74" w:rsidRPr="00801A5D">
        <w:rPr>
          <w:rFonts w:ascii="Calibri" w:hAnsi="Calibri" w:cs="Calibri"/>
          <w:bCs/>
          <w:sz w:val="22"/>
          <w:szCs w:val="22"/>
        </w:rPr>
        <w:t>:</w:t>
      </w:r>
    </w:p>
    <w:p w:rsidR="00F56E74" w:rsidRPr="00801A5D" w:rsidRDefault="00F56E74" w:rsidP="00F56E74">
      <w:pPr>
        <w:rPr>
          <w:rFonts w:ascii="Calibri" w:hAnsi="Calibri" w:cs="Calibri"/>
          <w:bCs/>
          <w:sz w:val="22"/>
          <w:szCs w:val="22"/>
        </w:rPr>
      </w:pPr>
    </w:p>
    <w:p w:rsidR="00514F66" w:rsidRDefault="005C576E" w:rsidP="00AC333A">
      <w:pPr>
        <w:widowControl/>
        <w:autoSpaceDE/>
        <w:autoSpaceDN/>
        <w:adjustRightInd/>
        <w:jc w:val="both"/>
        <w:rPr>
          <w:rFonts w:ascii="Calibri" w:hAnsi="Calibri" w:cs="Calibri"/>
          <w:sz w:val="22"/>
          <w:szCs w:val="22"/>
        </w:rPr>
      </w:pPr>
      <w:r w:rsidRPr="00801A5D">
        <w:rPr>
          <w:rFonts w:ascii="Calibri" w:hAnsi="Calibri" w:cs="Calibri"/>
          <w:sz w:val="22"/>
          <w:szCs w:val="22"/>
        </w:rPr>
        <w:t>On</w:t>
      </w:r>
      <w:r w:rsidR="001E2248">
        <w:rPr>
          <w:rFonts w:ascii="Calibri" w:hAnsi="Calibri" w:cs="Calibri"/>
          <w:sz w:val="22"/>
          <w:szCs w:val="22"/>
        </w:rPr>
        <w:t xml:space="preserve"> </w:t>
      </w:r>
      <w:r w:rsidR="00373BE6">
        <w:rPr>
          <w:rFonts w:ascii="Calibri" w:hAnsi="Calibri" w:cs="Calibri"/>
          <w:sz w:val="22"/>
          <w:szCs w:val="22"/>
        </w:rPr>
        <w:t xml:space="preserve">[date]           </w:t>
      </w:r>
      <w:r w:rsidRPr="00801A5D">
        <w:rPr>
          <w:rFonts w:ascii="Calibri" w:hAnsi="Calibri" w:cs="Calibri"/>
          <w:sz w:val="22"/>
          <w:szCs w:val="22"/>
        </w:rPr>
        <w:t>, you</w:t>
      </w:r>
      <w:r w:rsidR="00F0735F" w:rsidRPr="00801A5D">
        <w:rPr>
          <w:rFonts w:ascii="Calibri" w:hAnsi="Calibri" w:cs="Calibri"/>
          <w:sz w:val="22"/>
          <w:szCs w:val="22"/>
        </w:rPr>
        <w:t xml:space="preserve"> </w:t>
      </w:r>
      <w:r w:rsidR="003770E4">
        <w:rPr>
          <w:rFonts w:ascii="Calibri" w:hAnsi="Calibri" w:cs="Calibri"/>
          <w:sz w:val="22"/>
          <w:szCs w:val="22"/>
        </w:rPr>
        <w:t>requested a formal opinion from the Board of Ethics addressing</w:t>
      </w:r>
      <w:r w:rsidR="00F0735F" w:rsidRPr="00801A5D">
        <w:rPr>
          <w:rFonts w:ascii="Calibri" w:hAnsi="Calibri" w:cs="Calibri"/>
          <w:color w:val="000000"/>
          <w:sz w:val="22"/>
          <w:szCs w:val="22"/>
        </w:rPr>
        <w:t xml:space="preserve"> </w:t>
      </w:r>
      <w:r w:rsidR="001E2248">
        <w:rPr>
          <w:rFonts w:ascii="Calibri" w:hAnsi="Calibri" w:cs="Calibri"/>
          <w:color w:val="000000"/>
          <w:sz w:val="22"/>
          <w:szCs w:val="22"/>
        </w:rPr>
        <w:t>whether and how the Governmental Ethics Ordinance [“Ethics Ordinance” or “Ordinance”] would restrict you were you to practice law either as a sole practitioner, or as a member of a law firm, upon leaving your City job as a</w:t>
      </w:r>
      <w:r w:rsidR="00457083">
        <w:rPr>
          <w:rFonts w:ascii="Calibri" w:hAnsi="Calibri" w:cs="Calibri"/>
          <w:color w:val="000000"/>
          <w:sz w:val="22"/>
          <w:szCs w:val="22"/>
        </w:rPr>
        <w:t>n</w:t>
      </w:r>
      <w:r w:rsidR="00373BE6">
        <w:rPr>
          <w:rFonts w:ascii="Calibri" w:hAnsi="Calibri" w:cs="Calibri"/>
          <w:color w:val="000000"/>
          <w:sz w:val="22"/>
          <w:szCs w:val="22"/>
        </w:rPr>
        <w:t xml:space="preserve">                         </w:t>
      </w:r>
      <w:r w:rsidR="001E2248">
        <w:rPr>
          <w:rFonts w:ascii="Calibri" w:hAnsi="Calibri" w:cs="Calibri"/>
          <w:color w:val="000000"/>
          <w:sz w:val="22"/>
          <w:szCs w:val="22"/>
        </w:rPr>
        <w:t xml:space="preserve"> Officer </w:t>
      </w:r>
      <w:r w:rsidR="00457083">
        <w:rPr>
          <w:rFonts w:ascii="Calibri" w:hAnsi="Calibri" w:cs="Calibri"/>
          <w:color w:val="000000"/>
          <w:sz w:val="22"/>
          <w:szCs w:val="22"/>
        </w:rPr>
        <w:t xml:space="preserve"> </w:t>
      </w:r>
      <w:r w:rsidR="00373BE6">
        <w:rPr>
          <w:rFonts w:ascii="Calibri" w:hAnsi="Calibri" w:cs="Calibri"/>
          <w:color w:val="000000"/>
          <w:sz w:val="22"/>
          <w:szCs w:val="22"/>
        </w:rPr>
        <w:t xml:space="preserve">       </w:t>
      </w:r>
      <w:r w:rsidR="001E2248">
        <w:rPr>
          <w:rFonts w:ascii="Calibri" w:hAnsi="Calibri" w:cs="Calibri"/>
          <w:color w:val="000000"/>
          <w:sz w:val="22"/>
          <w:szCs w:val="22"/>
        </w:rPr>
        <w:t xml:space="preserve"> with the Department of </w:t>
      </w:r>
      <w:r w:rsidR="00373BE6">
        <w:rPr>
          <w:rFonts w:ascii="Calibri" w:hAnsi="Calibri" w:cs="Calibri"/>
          <w:color w:val="000000"/>
          <w:sz w:val="22"/>
          <w:szCs w:val="22"/>
        </w:rPr>
        <w:t xml:space="preserve">H                               </w:t>
      </w:r>
      <w:r w:rsidR="001E2248">
        <w:rPr>
          <w:rFonts w:ascii="Calibri" w:hAnsi="Calibri" w:cs="Calibri"/>
          <w:color w:val="000000"/>
          <w:sz w:val="22"/>
          <w:szCs w:val="22"/>
        </w:rPr>
        <w:t xml:space="preserve">  </w:t>
      </w:r>
      <w:r w:rsidR="00373BE6">
        <w:rPr>
          <w:rFonts w:ascii="Calibri" w:hAnsi="Calibri" w:cs="Calibri"/>
          <w:color w:val="000000"/>
          <w:sz w:val="22"/>
          <w:szCs w:val="22"/>
        </w:rPr>
        <w:t xml:space="preserve">                 </w:t>
      </w:r>
      <w:r w:rsidR="00847829">
        <w:rPr>
          <w:rFonts w:ascii="Calibri" w:hAnsi="Calibri" w:cs="Calibri"/>
          <w:sz w:val="22"/>
          <w:szCs w:val="22"/>
        </w:rPr>
        <w:t xml:space="preserve"> </w:t>
      </w:r>
      <w:r w:rsidR="00373BE6">
        <w:rPr>
          <w:rFonts w:ascii="Calibri" w:hAnsi="Calibri" w:cs="Calibri"/>
          <w:sz w:val="22"/>
          <w:szCs w:val="22"/>
        </w:rPr>
        <w:t xml:space="preserve">                </w:t>
      </w:r>
      <w:r w:rsidR="001E2248">
        <w:rPr>
          <w:rFonts w:ascii="Calibri" w:hAnsi="Calibri" w:cs="Calibri"/>
          <w:sz w:val="22"/>
          <w:szCs w:val="22"/>
        </w:rPr>
        <w:t xml:space="preserve"> </w:t>
      </w:r>
      <w:r w:rsidR="00373BE6">
        <w:rPr>
          <w:rFonts w:ascii="Calibri" w:hAnsi="Calibri" w:cs="Calibri"/>
          <w:sz w:val="22"/>
          <w:szCs w:val="22"/>
        </w:rPr>
        <w:t>T</w:t>
      </w:r>
      <w:r w:rsidRPr="00801A5D">
        <w:rPr>
          <w:rFonts w:ascii="Calibri" w:hAnsi="Calibri" w:cs="Calibri"/>
          <w:sz w:val="22"/>
          <w:szCs w:val="22"/>
        </w:rPr>
        <w:t xml:space="preserve">he Board carefully considered all the facts presented in light </w:t>
      </w:r>
      <w:r w:rsidR="00B05DFC" w:rsidRPr="00801A5D">
        <w:rPr>
          <w:rFonts w:ascii="Calibri" w:hAnsi="Calibri" w:cs="Calibri"/>
          <w:sz w:val="22"/>
          <w:szCs w:val="22"/>
        </w:rPr>
        <w:t>of the</w:t>
      </w:r>
      <w:r w:rsidR="003770E4">
        <w:rPr>
          <w:rFonts w:ascii="Calibri" w:hAnsi="Calibri" w:cs="Calibri"/>
          <w:sz w:val="22"/>
          <w:szCs w:val="22"/>
        </w:rPr>
        <w:t xml:space="preserve"> </w:t>
      </w:r>
      <w:r w:rsidR="00615996">
        <w:rPr>
          <w:rFonts w:ascii="Calibri" w:hAnsi="Calibri" w:cs="Calibri"/>
          <w:sz w:val="22"/>
          <w:szCs w:val="22"/>
        </w:rPr>
        <w:t>Ordinance</w:t>
      </w:r>
      <w:r w:rsidR="003770E4">
        <w:rPr>
          <w:rFonts w:ascii="Calibri" w:hAnsi="Calibri" w:cs="Calibri"/>
          <w:sz w:val="22"/>
          <w:szCs w:val="22"/>
        </w:rPr>
        <w:t>, and that evening issued its formal advisory opinion to you.</w:t>
      </w:r>
      <w:r w:rsidR="00B05DFC" w:rsidRPr="00801A5D">
        <w:rPr>
          <w:rFonts w:ascii="Calibri" w:hAnsi="Calibri" w:cs="Calibri"/>
          <w:sz w:val="22"/>
          <w:szCs w:val="22"/>
        </w:rPr>
        <w:t xml:space="preserve">  </w:t>
      </w:r>
    </w:p>
    <w:p w:rsidR="00514F66" w:rsidRDefault="00514F66" w:rsidP="00AC333A">
      <w:pPr>
        <w:widowControl/>
        <w:autoSpaceDE/>
        <w:autoSpaceDN/>
        <w:adjustRightInd/>
        <w:jc w:val="both"/>
        <w:rPr>
          <w:rFonts w:ascii="Calibri" w:hAnsi="Calibri" w:cs="Calibri"/>
          <w:sz w:val="22"/>
          <w:szCs w:val="22"/>
        </w:rPr>
      </w:pPr>
    </w:p>
    <w:p w:rsidR="0018504F" w:rsidRPr="00801A5D" w:rsidRDefault="005C576E" w:rsidP="00AC333A">
      <w:pPr>
        <w:widowControl/>
        <w:autoSpaceDE/>
        <w:autoSpaceDN/>
        <w:adjustRightInd/>
        <w:jc w:val="both"/>
        <w:rPr>
          <w:rFonts w:ascii="Calibri" w:hAnsi="Calibri" w:cs="Calibri"/>
          <w:sz w:val="22"/>
          <w:szCs w:val="22"/>
        </w:rPr>
      </w:pPr>
      <w:r w:rsidRPr="00801A5D">
        <w:rPr>
          <w:rFonts w:ascii="Calibri" w:hAnsi="Calibri" w:cs="Calibri"/>
          <w:sz w:val="22"/>
          <w:szCs w:val="22"/>
        </w:rPr>
        <w:t xml:space="preserve">As </w:t>
      </w:r>
      <w:r w:rsidR="003770E4">
        <w:rPr>
          <w:rFonts w:ascii="Calibri" w:hAnsi="Calibri" w:cs="Calibri"/>
          <w:sz w:val="22"/>
          <w:szCs w:val="22"/>
        </w:rPr>
        <w:t xml:space="preserve">that opinion explained </w:t>
      </w:r>
      <w:r w:rsidRPr="00801A5D">
        <w:rPr>
          <w:rFonts w:ascii="Calibri" w:hAnsi="Calibri" w:cs="Calibri"/>
          <w:sz w:val="22"/>
          <w:szCs w:val="22"/>
        </w:rPr>
        <w:t>fully</w:t>
      </w:r>
      <w:r w:rsidR="003770E4">
        <w:rPr>
          <w:rFonts w:ascii="Calibri" w:hAnsi="Calibri" w:cs="Calibri"/>
          <w:sz w:val="22"/>
          <w:szCs w:val="22"/>
        </w:rPr>
        <w:t>,</w:t>
      </w:r>
      <w:r w:rsidRPr="00801A5D">
        <w:rPr>
          <w:rFonts w:ascii="Calibri" w:hAnsi="Calibri" w:cs="Calibri"/>
          <w:sz w:val="22"/>
          <w:szCs w:val="22"/>
        </w:rPr>
        <w:t xml:space="preserve"> </w:t>
      </w:r>
      <w:r w:rsidR="00257EFB" w:rsidRPr="00801A5D">
        <w:rPr>
          <w:rFonts w:ascii="Calibri" w:hAnsi="Calibri" w:cs="Calibri"/>
          <w:sz w:val="22"/>
          <w:szCs w:val="22"/>
        </w:rPr>
        <w:t>t</w:t>
      </w:r>
      <w:r w:rsidR="00352A1D" w:rsidRPr="00801A5D">
        <w:rPr>
          <w:rFonts w:ascii="Calibri" w:hAnsi="Calibri" w:cs="Calibri"/>
          <w:sz w:val="22"/>
          <w:szCs w:val="22"/>
        </w:rPr>
        <w:t>he Board determined</w:t>
      </w:r>
      <w:r w:rsidR="001E2248">
        <w:rPr>
          <w:rFonts w:ascii="Calibri" w:hAnsi="Calibri" w:cs="Calibri"/>
          <w:sz w:val="22"/>
          <w:szCs w:val="22"/>
        </w:rPr>
        <w:t xml:space="preserve"> that, among other restrictions,</w:t>
      </w:r>
      <w:r w:rsidR="004A2C2B">
        <w:rPr>
          <w:rFonts w:ascii="Calibri" w:hAnsi="Calibri" w:cs="Calibri"/>
          <w:sz w:val="22"/>
          <w:szCs w:val="22"/>
        </w:rPr>
        <w:t xml:space="preserve"> </w:t>
      </w:r>
      <w:r w:rsidR="00514F66">
        <w:rPr>
          <w:rFonts w:ascii="Calibri" w:hAnsi="Calibri" w:cs="Calibri"/>
          <w:sz w:val="22"/>
          <w:szCs w:val="22"/>
        </w:rPr>
        <w:t>under §2-156-100(b) of the Ordinance, you will be</w:t>
      </w:r>
      <w:r w:rsidR="004A2C2B">
        <w:rPr>
          <w:rFonts w:ascii="Calibri" w:hAnsi="Calibri" w:cs="Calibri"/>
          <w:sz w:val="22"/>
          <w:szCs w:val="22"/>
        </w:rPr>
        <w:t xml:space="preserve"> prohibited from assisting or representing any client in an administrative proceeding before </w:t>
      </w:r>
      <w:r w:rsidR="00250B3C">
        <w:rPr>
          <w:rFonts w:ascii="Calibri" w:hAnsi="Calibri" w:cs="Calibri"/>
          <w:sz w:val="22"/>
          <w:szCs w:val="22"/>
        </w:rPr>
        <w:t>the</w:t>
      </w:r>
      <w:r w:rsidR="00373BE6">
        <w:rPr>
          <w:rFonts w:ascii="Calibri" w:hAnsi="Calibri" w:cs="Calibri"/>
          <w:sz w:val="22"/>
          <w:szCs w:val="22"/>
        </w:rPr>
        <w:t xml:space="preserve">  </w:t>
      </w:r>
      <w:r w:rsidR="004A2C2B">
        <w:rPr>
          <w:rFonts w:ascii="Calibri" w:hAnsi="Calibri" w:cs="Calibri"/>
          <w:sz w:val="22"/>
          <w:szCs w:val="22"/>
        </w:rPr>
        <w:t>H</w:t>
      </w:r>
      <w:r w:rsidR="00514F66">
        <w:rPr>
          <w:rFonts w:ascii="Calibri" w:hAnsi="Calibri" w:cs="Calibri"/>
          <w:sz w:val="22"/>
          <w:szCs w:val="22"/>
        </w:rPr>
        <w:t xml:space="preserve"> for one year after you leave your </w:t>
      </w:r>
      <w:r w:rsidR="00373BE6">
        <w:rPr>
          <w:rFonts w:ascii="Calibri" w:hAnsi="Calibri" w:cs="Calibri"/>
          <w:sz w:val="22"/>
          <w:szCs w:val="22"/>
        </w:rPr>
        <w:t xml:space="preserve">  </w:t>
      </w:r>
      <w:r w:rsidR="00514F66">
        <w:rPr>
          <w:rFonts w:ascii="Calibri" w:hAnsi="Calibri" w:cs="Calibri"/>
          <w:sz w:val="22"/>
          <w:szCs w:val="22"/>
        </w:rPr>
        <w:t>H employment</w:t>
      </w:r>
      <w:r w:rsidR="004A2C2B">
        <w:rPr>
          <w:rFonts w:ascii="Calibri" w:hAnsi="Calibri" w:cs="Calibri"/>
          <w:sz w:val="22"/>
          <w:szCs w:val="22"/>
        </w:rPr>
        <w:t>.</w:t>
      </w:r>
      <w:r w:rsidR="0018504F">
        <w:rPr>
          <w:rFonts w:ascii="Calibri" w:hAnsi="Calibri" w:cs="Calibri"/>
          <w:sz w:val="22"/>
          <w:szCs w:val="22"/>
        </w:rPr>
        <w:t xml:space="preserve">  The Board also </w:t>
      </w:r>
      <w:r w:rsidR="00514F66">
        <w:rPr>
          <w:rFonts w:ascii="Calibri" w:hAnsi="Calibri" w:cs="Calibri"/>
          <w:sz w:val="22"/>
          <w:szCs w:val="22"/>
        </w:rPr>
        <w:t>determined</w:t>
      </w:r>
      <w:r w:rsidR="0018504F">
        <w:rPr>
          <w:rFonts w:ascii="Calibri" w:hAnsi="Calibri" w:cs="Calibri"/>
          <w:sz w:val="22"/>
          <w:szCs w:val="22"/>
        </w:rPr>
        <w:t xml:space="preserve"> that you are </w:t>
      </w:r>
      <w:r w:rsidR="00514F66">
        <w:rPr>
          <w:rFonts w:ascii="Calibri" w:hAnsi="Calibri" w:cs="Calibri"/>
          <w:sz w:val="22"/>
          <w:szCs w:val="22"/>
        </w:rPr>
        <w:t>prohibited, under §2-156-100(a</w:t>
      </w:r>
      <w:r w:rsidR="0018504F">
        <w:rPr>
          <w:rFonts w:ascii="Calibri" w:hAnsi="Calibri" w:cs="Calibri"/>
          <w:sz w:val="22"/>
          <w:szCs w:val="22"/>
        </w:rPr>
        <w:t xml:space="preserve">) of the Ordinance, </w:t>
      </w:r>
      <w:r w:rsidR="00514F66">
        <w:rPr>
          <w:rFonts w:ascii="Calibri" w:hAnsi="Calibri" w:cs="Calibri"/>
          <w:sz w:val="22"/>
          <w:szCs w:val="22"/>
        </w:rPr>
        <w:t xml:space="preserve">from assisting or representing any client or person (other than the City itself) </w:t>
      </w:r>
      <w:r w:rsidR="0018504F">
        <w:rPr>
          <w:rFonts w:ascii="Calibri" w:hAnsi="Calibri" w:cs="Calibri"/>
          <w:sz w:val="22"/>
          <w:szCs w:val="22"/>
        </w:rPr>
        <w:t xml:space="preserve">with respect to any proceeding conducted before </w:t>
      </w:r>
      <w:r w:rsidR="00250B3C">
        <w:rPr>
          <w:rFonts w:ascii="Calibri" w:hAnsi="Calibri" w:cs="Calibri"/>
          <w:sz w:val="22"/>
          <w:szCs w:val="22"/>
        </w:rPr>
        <w:t xml:space="preserve">the </w:t>
      </w:r>
      <w:r w:rsidR="00373BE6">
        <w:rPr>
          <w:rFonts w:ascii="Calibri" w:hAnsi="Calibri" w:cs="Calibri"/>
          <w:sz w:val="22"/>
          <w:szCs w:val="22"/>
        </w:rPr>
        <w:t xml:space="preserve">  </w:t>
      </w:r>
      <w:r w:rsidR="0018504F">
        <w:rPr>
          <w:rFonts w:ascii="Calibri" w:hAnsi="Calibri" w:cs="Calibri"/>
          <w:sz w:val="22"/>
          <w:szCs w:val="22"/>
        </w:rPr>
        <w:t>H</w:t>
      </w:r>
      <w:r w:rsidR="00D06BA5">
        <w:rPr>
          <w:rFonts w:ascii="Calibri" w:hAnsi="Calibri" w:cs="Calibri"/>
          <w:sz w:val="22"/>
          <w:szCs w:val="22"/>
        </w:rPr>
        <w:t xml:space="preserve"> </w:t>
      </w:r>
      <w:r w:rsidR="003770E4">
        <w:rPr>
          <w:rFonts w:ascii="Calibri" w:hAnsi="Calibri" w:cs="Calibri"/>
          <w:sz w:val="22"/>
          <w:szCs w:val="22"/>
        </w:rPr>
        <w:t xml:space="preserve">in which you were counsel of record or </w:t>
      </w:r>
      <w:r w:rsidR="00D06BA5">
        <w:rPr>
          <w:rFonts w:ascii="Calibri" w:hAnsi="Calibri" w:cs="Calibri"/>
          <w:sz w:val="22"/>
          <w:szCs w:val="22"/>
        </w:rPr>
        <w:t>participated personally and substantially</w:t>
      </w:r>
      <w:r w:rsidR="003770E4">
        <w:rPr>
          <w:rFonts w:ascii="Calibri" w:hAnsi="Calibri" w:cs="Calibri"/>
          <w:sz w:val="22"/>
          <w:szCs w:val="22"/>
        </w:rPr>
        <w:t xml:space="preserve"> during your years of employment with</w:t>
      </w:r>
      <w:r w:rsidR="00250B3C">
        <w:rPr>
          <w:rFonts w:ascii="Calibri" w:hAnsi="Calibri" w:cs="Calibri"/>
          <w:sz w:val="22"/>
          <w:szCs w:val="22"/>
        </w:rPr>
        <w:t xml:space="preserve"> </w:t>
      </w:r>
      <w:r w:rsidR="00373BE6">
        <w:rPr>
          <w:rFonts w:ascii="Calibri" w:hAnsi="Calibri" w:cs="Calibri"/>
          <w:sz w:val="22"/>
          <w:szCs w:val="22"/>
        </w:rPr>
        <w:t xml:space="preserve">  </w:t>
      </w:r>
      <w:r w:rsidR="00D06BA5">
        <w:rPr>
          <w:rFonts w:ascii="Calibri" w:hAnsi="Calibri" w:cs="Calibri"/>
          <w:sz w:val="22"/>
          <w:szCs w:val="22"/>
        </w:rPr>
        <w:t xml:space="preserve">H.  </w:t>
      </w:r>
    </w:p>
    <w:p w:rsidR="00D56317" w:rsidRPr="00D56317" w:rsidRDefault="00D56317" w:rsidP="00D56317">
      <w:pPr>
        <w:widowControl/>
        <w:tabs>
          <w:tab w:val="left" w:pos="360"/>
        </w:tabs>
        <w:autoSpaceDE/>
        <w:autoSpaceDN/>
        <w:adjustRightInd/>
        <w:spacing w:after="-1"/>
        <w:jc w:val="both"/>
        <w:rPr>
          <w:rFonts w:ascii="Calibri" w:eastAsia="Calibri" w:hAnsi="Calibri"/>
          <w:sz w:val="22"/>
          <w:szCs w:val="22"/>
        </w:rPr>
      </w:pPr>
    </w:p>
    <w:p w:rsidR="00514F66" w:rsidRDefault="00373BE6" w:rsidP="00250B3C">
      <w:pPr>
        <w:widowControl/>
        <w:autoSpaceDE/>
        <w:autoSpaceDN/>
        <w:adjustRightInd/>
        <w:jc w:val="both"/>
        <w:rPr>
          <w:rFonts w:ascii="Calibri" w:eastAsia="Calibri" w:hAnsi="Calibri"/>
          <w:sz w:val="22"/>
          <w:szCs w:val="22"/>
        </w:rPr>
      </w:pPr>
      <w:r>
        <w:rPr>
          <w:rFonts w:ascii="Calibri" w:eastAsia="Calibri" w:hAnsi="Calibri"/>
          <w:sz w:val="22"/>
          <w:szCs w:val="22"/>
        </w:rPr>
        <w:t xml:space="preserve">[On the day following the date on which the Board issued its opinion]      </w:t>
      </w:r>
      <w:r w:rsidR="003770E4">
        <w:rPr>
          <w:rFonts w:ascii="Calibri" w:eastAsia="Calibri" w:hAnsi="Calibri"/>
          <w:sz w:val="22"/>
          <w:szCs w:val="22"/>
        </w:rPr>
        <w:t xml:space="preserve">, </w:t>
      </w:r>
      <w:r w:rsidR="00D56317" w:rsidRPr="00D56317">
        <w:rPr>
          <w:rFonts w:ascii="Calibri" w:eastAsia="Calibri" w:hAnsi="Calibri"/>
          <w:sz w:val="22"/>
          <w:szCs w:val="22"/>
        </w:rPr>
        <w:t xml:space="preserve">Board staff received </w:t>
      </w:r>
      <w:r w:rsidR="00D56317">
        <w:rPr>
          <w:rFonts w:ascii="Calibri" w:eastAsia="Calibri" w:hAnsi="Calibri"/>
          <w:sz w:val="22"/>
          <w:szCs w:val="22"/>
        </w:rPr>
        <w:t>your request for reconsideration</w:t>
      </w:r>
      <w:r w:rsidR="003770E4">
        <w:rPr>
          <w:rFonts w:ascii="Calibri" w:eastAsia="Calibri" w:hAnsi="Calibri"/>
          <w:sz w:val="22"/>
          <w:szCs w:val="22"/>
        </w:rPr>
        <w:t xml:space="preserve"> (which was </w:t>
      </w:r>
      <w:r>
        <w:rPr>
          <w:rFonts w:ascii="Calibri" w:eastAsia="Calibri" w:hAnsi="Calibri"/>
          <w:sz w:val="22"/>
          <w:szCs w:val="22"/>
        </w:rPr>
        <w:t>a</w:t>
      </w:r>
      <w:r w:rsidR="003770E4">
        <w:rPr>
          <w:rFonts w:ascii="Calibri" w:eastAsia="Calibri" w:hAnsi="Calibri"/>
          <w:sz w:val="22"/>
          <w:szCs w:val="22"/>
        </w:rPr>
        <w:t>ddressed to the Board’s Chair)</w:t>
      </w:r>
      <w:r w:rsidR="001D6160">
        <w:rPr>
          <w:rFonts w:ascii="Calibri" w:eastAsia="Calibri" w:hAnsi="Calibri"/>
          <w:sz w:val="22"/>
          <w:szCs w:val="22"/>
        </w:rPr>
        <w:t xml:space="preserve">. </w:t>
      </w:r>
      <w:r w:rsidR="003770E4">
        <w:rPr>
          <w:rFonts w:ascii="Calibri" w:eastAsia="Calibri" w:hAnsi="Calibri"/>
          <w:sz w:val="22"/>
          <w:szCs w:val="22"/>
        </w:rPr>
        <w:t xml:space="preserve"> </w:t>
      </w:r>
    </w:p>
    <w:p w:rsidR="00514F66" w:rsidRDefault="00514F66" w:rsidP="00250B3C">
      <w:pPr>
        <w:widowControl/>
        <w:autoSpaceDE/>
        <w:autoSpaceDN/>
        <w:adjustRightInd/>
        <w:jc w:val="both"/>
        <w:rPr>
          <w:rFonts w:ascii="Calibri" w:eastAsia="Calibri" w:hAnsi="Calibri"/>
          <w:sz w:val="22"/>
          <w:szCs w:val="22"/>
        </w:rPr>
      </w:pPr>
    </w:p>
    <w:p w:rsidR="003D6BF2" w:rsidRDefault="003D6BF2" w:rsidP="00250B3C">
      <w:pPr>
        <w:widowControl/>
        <w:autoSpaceDE/>
        <w:autoSpaceDN/>
        <w:adjustRightInd/>
        <w:jc w:val="both"/>
        <w:rPr>
          <w:rFonts w:ascii="Calibri" w:eastAsia="Calibri" w:hAnsi="Calibri"/>
          <w:sz w:val="22"/>
          <w:szCs w:val="22"/>
        </w:rPr>
      </w:pPr>
      <w:r>
        <w:rPr>
          <w:rFonts w:ascii="Calibri" w:eastAsia="Calibri" w:hAnsi="Calibri"/>
          <w:sz w:val="22"/>
          <w:szCs w:val="22"/>
        </w:rPr>
        <w:t>Rule 3-8 of the Board’s Rules and Regulations</w:t>
      </w:r>
      <w:r w:rsidR="00514F66">
        <w:rPr>
          <w:rFonts w:ascii="Calibri" w:eastAsia="Calibri" w:hAnsi="Calibri"/>
          <w:sz w:val="22"/>
          <w:szCs w:val="22"/>
        </w:rPr>
        <w:t xml:space="preserve"> provides that</w:t>
      </w:r>
      <w:r>
        <w:rPr>
          <w:rFonts w:ascii="Calibri" w:eastAsia="Calibri" w:hAnsi="Calibri"/>
          <w:sz w:val="22"/>
          <w:szCs w:val="22"/>
        </w:rPr>
        <w:t xml:space="preserve"> a request for reconsideration of a Board opinion must contain </w:t>
      </w:r>
      <w:r w:rsidR="00514F66">
        <w:rPr>
          <w:rFonts w:ascii="Calibri" w:eastAsia="Calibri" w:hAnsi="Calibri"/>
          <w:sz w:val="22"/>
          <w:szCs w:val="22"/>
        </w:rPr>
        <w:t>“</w:t>
      </w:r>
      <w:r>
        <w:rPr>
          <w:rFonts w:ascii="Calibri" w:eastAsia="Calibri" w:hAnsi="Calibri"/>
          <w:sz w:val="22"/>
          <w:szCs w:val="22"/>
        </w:rPr>
        <w:t xml:space="preserve">an explanation of material facts or circumstances that were not before the Board in its deliberations on </w:t>
      </w:r>
      <w:proofErr w:type="gramStart"/>
      <w:r>
        <w:rPr>
          <w:rFonts w:ascii="Calibri" w:eastAsia="Calibri" w:hAnsi="Calibri"/>
          <w:sz w:val="22"/>
          <w:szCs w:val="22"/>
        </w:rPr>
        <w:t>the</w:t>
      </w:r>
      <w:proofErr w:type="gramEnd"/>
      <w:r>
        <w:rPr>
          <w:rFonts w:ascii="Calibri" w:eastAsia="Calibri" w:hAnsi="Calibri"/>
          <w:sz w:val="22"/>
          <w:szCs w:val="22"/>
        </w:rPr>
        <w:t xml:space="preserve"> opinion … [and </w:t>
      </w:r>
      <w:r w:rsidR="00514F66">
        <w:rPr>
          <w:rFonts w:ascii="Calibri" w:eastAsia="Calibri" w:hAnsi="Calibri"/>
          <w:sz w:val="22"/>
          <w:szCs w:val="22"/>
        </w:rPr>
        <w:t>also provides that</w:t>
      </w:r>
      <w:r>
        <w:rPr>
          <w:rFonts w:ascii="Calibri" w:eastAsia="Calibri" w:hAnsi="Calibri"/>
          <w:sz w:val="22"/>
          <w:szCs w:val="22"/>
        </w:rPr>
        <w:t xml:space="preserve">] if the Board finds that [such] material facts or circumstances do not alter its decision, it shall deny the request and so notify the person requesting the reconsideration.” </w:t>
      </w:r>
    </w:p>
    <w:p w:rsidR="003D6BF2" w:rsidRDefault="003D6BF2" w:rsidP="00250B3C">
      <w:pPr>
        <w:widowControl/>
        <w:autoSpaceDE/>
        <w:autoSpaceDN/>
        <w:adjustRightInd/>
        <w:jc w:val="both"/>
        <w:rPr>
          <w:rFonts w:ascii="Calibri" w:eastAsia="Calibri" w:hAnsi="Calibri"/>
          <w:sz w:val="22"/>
          <w:szCs w:val="22"/>
        </w:rPr>
      </w:pPr>
    </w:p>
    <w:p w:rsidR="00250B3C" w:rsidRPr="003D6BF2" w:rsidRDefault="003D6BF2" w:rsidP="00250B3C">
      <w:pPr>
        <w:widowControl/>
        <w:autoSpaceDE/>
        <w:autoSpaceDN/>
        <w:adjustRightInd/>
        <w:jc w:val="both"/>
        <w:rPr>
          <w:rFonts w:ascii="Calibri" w:eastAsia="Calibri" w:hAnsi="Calibri"/>
          <w:sz w:val="22"/>
          <w:szCs w:val="22"/>
        </w:rPr>
      </w:pPr>
      <w:r>
        <w:rPr>
          <w:rFonts w:ascii="Calibri" w:eastAsia="Calibri" w:hAnsi="Calibri"/>
          <w:sz w:val="22"/>
          <w:szCs w:val="22"/>
        </w:rPr>
        <w:t>Your</w:t>
      </w:r>
      <w:r w:rsidR="00514F66">
        <w:rPr>
          <w:rFonts w:ascii="Calibri" w:eastAsia="Calibri" w:hAnsi="Calibri"/>
          <w:sz w:val="22"/>
          <w:szCs w:val="22"/>
        </w:rPr>
        <w:t xml:space="preserve"> </w:t>
      </w:r>
      <w:r>
        <w:rPr>
          <w:rFonts w:ascii="Calibri" w:eastAsia="Calibri" w:hAnsi="Calibri"/>
          <w:sz w:val="22"/>
          <w:szCs w:val="22"/>
        </w:rPr>
        <w:t xml:space="preserve">request does not present any material facts that were not before the Board on or before </w:t>
      </w:r>
      <w:r w:rsidR="00373BE6">
        <w:rPr>
          <w:rFonts w:ascii="Calibri" w:eastAsia="Calibri" w:hAnsi="Calibri"/>
          <w:sz w:val="22"/>
          <w:szCs w:val="22"/>
        </w:rPr>
        <w:t>[at its meeting]. Ins</w:t>
      </w:r>
      <w:r>
        <w:rPr>
          <w:rFonts w:ascii="Calibri" w:eastAsia="Calibri" w:hAnsi="Calibri"/>
          <w:sz w:val="22"/>
          <w:szCs w:val="22"/>
        </w:rPr>
        <w:t>tead, your</w:t>
      </w:r>
      <w:r w:rsidR="00D56317" w:rsidRPr="00D56317">
        <w:rPr>
          <w:rFonts w:ascii="Calibri" w:eastAsia="Calibri" w:hAnsi="Calibri"/>
          <w:sz w:val="22"/>
          <w:szCs w:val="22"/>
        </w:rPr>
        <w:t xml:space="preserve"> request </w:t>
      </w:r>
      <w:r w:rsidR="00FC185C">
        <w:rPr>
          <w:rFonts w:ascii="Calibri" w:eastAsia="Calibri" w:hAnsi="Calibri"/>
          <w:sz w:val="22"/>
          <w:szCs w:val="22"/>
        </w:rPr>
        <w:t>asserts</w:t>
      </w:r>
      <w:r w:rsidR="00D56317" w:rsidRPr="00D56317">
        <w:rPr>
          <w:rFonts w:ascii="Calibri" w:eastAsia="Calibri" w:hAnsi="Calibri"/>
          <w:sz w:val="22"/>
          <w:szCs w:val="22"/>
        </w:rPr>
        <w:t xml:space="preserve"> that the Board’s </w:t>
      </w:r>
      <w:r w:rsidR="001D6160">
        <w:rPr>
          <w:rFonts w:ascii="Calibri" w:eastAsia="Calibri" w:hAnsi="Calibri"/>
          <w:sz w:val="22"/>
          <w:szCs w:val="22"/>
        </w:rPr>
        <w:t>interpretation</w:t>
      </w:r>
      <w:r w:rsidR="00460DC9">
        <w:rPr>
          <w:rFonts w:ascii="Calibri" w:eastAsia="Calibri" w:hAnsi="Calibri"/>
          <w:sz w:val="22"/>
          <w:szCs w:val="22"/>
        </w:rPr>
        <w:t xml:space="preserve"> of the Ethics Ordinance i</w:t>
      </w:r>
      <w:r w:rsidR="003770E4">
        <w:rPr>
          <w:rFonts w:ascii="Calibri" w:eastAsia="Calibri" w:hAnsi="Calibri"/>
          <w:sz w:val="22"/>
          <w:szCs w:val="22"/>
        </w:rPr>
        <w:t>s</w:t>
      </w:r>
      <w:r w:rsidR="00460DC9">
        <w:rPr>
          <w:rFonts w:ascii="Calibri" w:eastAsia="Calibri" w:hAnsi="Calibri"/>
          <w:sz w:val="22"/>
          <w:szCs w:val="22"/>
        </w:rPr>
        <w:t xml:space="preserve"> erroneous.  </w:t>
      </w:r>
      <w:r w:rsidR="00D56317" w:rsidRPr="00D56317">
        <w:rPr>
          <w:rFonts w:ascii="Calibri" w:eastAsia="Calibri" w:hAnsi="Calibri"/>
          <w:sz w:val="22"/>
          <w:szCs w:val="22"/>
        </w:rPr>
        <w:t xml:space="preserve">Specifically, </w:t>
      </w:r>
      <w:r w:rsidR="00D56317">
        <w:rPr>
          <w:rFonts w:ascii="Calibri" w:eastAsia="Calibri" w:hAnsi="Calibri"/>
          <w:sz w:val="22"/>
          <w:szCs w:val="22"/>
        </w:rPr>
        <w:t xml:space="preserve">your </w:t>
      </w:r>
      <w:r w:rsidR="00373BE6">
        <w:rPr>
          <w:rFonts w:ascii="Calibri" w:eastAsia="Calibri" w:hAnsi="Calibri"/>
          <w:sz w:val="22"/>
          <w:szCs w:val="22"/>
        </w:rPr>
        <w:t>r</w:t>
      </w:r>
      <w:r w:rsidR="00D56317" w:rsidRPr="00D56317">
        <w:rPr>
          <w:rFonts w:ascii="Calibri" w:eastAsia="Calibri" w:hAnsi="Calibri"/>
          <w:sz w:val="22"/>
          <w:szCs w:val="22"/>
        </w:rPr>
        <w:t xml:space="preserve">equest </w:t>
      </w:r>
      <w:r w:rsidR="00FC185C">
        <w:rPr>
          <w:rFonts w:ascii="Calibri" w:eastAsia="Calibri" w:hAnsi="Calibri"/>
          <w:sz w:val="22"/>
          <w:szCs w:val="22"/>
        </w:rPr>
        <w:t>claims</w:t>
      </w:r>
      <w:r w:rsidR="00D56317" w:rsidRPr="00D56317">
        <w:rPr>
          <w:rFonts w:ascii="Calibri" w:eastAsia="Calibri" w:hAnsi="Calibri"/>
          <w:sz w:val="22"/>
          <w:szCs w:val="22"/>
        </w:rPr>
        <w:t xml:space="preserve"> that </w:t>
      </w:r>
      <w:r w:rsidR="00460DC9">
        <w:rPr>
          <w:rFonts w:ascii="Calibri" w:eastAsia="Calibri" w:hAnsi="Calibri"/>
          <w:sz w:val="22"/>
          <w:szCs w:val="22"/>
        </w:rPr>
        <w:t xml:space="preserve">the Board misinterpreted </w:t>
      </w:r>
      <w:r w:rsidR="00460DC9">
        <w:rPr>
          <w:rFonts w:ascii="Calibri" w:eastAsia="Calibri" w:hAnsi="Calibri" w:cs="Calibri"/>
          <w:sz w:val="22"/>
          <w:szCs w:val="22"/>
        </w:rPr>
        <w:t>§</w:t>
      </w:r>
      <w:r w:rsidR="00460DC9">
        <w:rPr>
          <w:rFonts w:ascii="Calibri" w:eastAsia="Calibri" w:hAnsi="Calibri"/>
          <w:sz w:val="22"/>
          <w:szCs w:val="22"/>
        </w:rPr>
        <w:t>2-156-100(a) as it applies to your circumstances.</w:t>
      </w:r>
      <w:r w:rsidR="00593408">
        <w:rPr>
          <w:rStyle w:val="FootnoteReference"/>
          <w:rFonts w:ascii="Calibri" w:eastAsia="Calibri" w:hAnsi="Calibri"/>
          <w:sz w:val="22"/>
          <w:szCs w:val="22"/>
        </w:rPr>
        <w:footnoteReference w:id="1"/>
      </w:r>
      <w:r w:rsidR="00847829">
        <w:rPr>
          <w:rFonts w:ascii="Calibri" w:eastAsia="Calibri" w:hAnsi="Calibri"/>
          <w:sz w:val="22"/>
          <w:szCs w:val="22"/>
        </w:rPr>
        <w:t xml:space="preserve"> </w:t>
      </w:r>
      <w:r w:rsidR="0088507A">
        <w:rPr>
          <w:rFonts w:ascii="Calibri" w:eastAsia="Calibri" w:hAnsi="Calibri"/>
          <w:sz w:val="22"/>
          <w:szCs w:val="22"/>
        </w:rPr>
        <w:t xml:space="preserve"> </w:t>
      </w:r>
      <w:r w:rsidR="00250B3C">
        <w:rPr>
          <w:rFonts w:ascii="Calibri" w:hAnsi="Calibri" w:cs="Calibri"/>
          <w:sz w:val="22"/>
          <w:szCs w:val="22"/>
        </w:rPr>
        <w:t xml:space="preserve">You </w:t>
      </w:r>
      <w:r>
        <w:rPr>
          <w:rFonts w:ascii="Calibri" w:hAnsi="Calibri" w:cs="Calibri"/>
          <w:sz w:val="22"/>
          <w:szCs w:val="22"/>
        </w:rPr>
        <w:t>do</w:t>
      </w:r>
      <w:r w:rsidR="00250B3C">
        <w:rPr>
          <w:rFonts w:ascii="Calibri" w:hAnsi="Calibri" w:cs="Calibri"/>
          <w:sz w:val="22"/>
          <w:szCs w:val="22"/>
        </w:rPr>
        <w:t xml:space="preserve"> </w:t>
      </w:r>
      <w:r w:rsidR="003770E4">
        <w:rPr>
          <w:rFonts w:ascii="Calibri" w:hAnsi="Calibri" w:cs="Calibri"/>
          <w:sz w:val="22"/>
          <w:szCs w:val="22"/>
        </w:rPr>
        <w:lastRenderedPageBreak/>
        <w:t>state</w:t>
      </w:r>
      <w:r w:rsidR="00250B3C">
        <w:rPr>
          <w:rFonts w:ascii="Calibri" w:hAnsi="Calibri" w:cs="Calibri"/>
          <w:sz w:val="22"/>
          <w:szCs w:val="22"/>
        </w:rPr>
        <w:t xml:space="preserve"> in your request that you agree with the Board that you are permanently restricted “from representing a client in any matter that may have come into </w:t>
      </w:r>
      <w:r w:rsidR="00373BE6">
        <w:rPr>
          <w:rFonts w:ascii="Calibri" w:hAnsi="Calibri" w:cs="Calibri"/>
          <w:sz w:val="22"/>
          <w:szCs w:val="22"/>
        </w:rPr>
        <w:t xml:space="preserve">     </w:t>
      </w:r>
      <w:r w:rsidR="003770E4">
        <w:rPr>
          <w:rFonts w:ascii="Calibri" w:hAnsi="Calibri" w:cs="Calibri"/>
          <w:sz w:val="22"/>
          <w:szCs w:val="22"/>
        </w:rPr>
        <w:t>H</w:t>
      </w:r>
      <w:r w:rsidR="00373BE6">
        <w:rPr>
          <w:rFonts w:ascii="Calibri" w:hAnsi="Calibri" w:cs="Calibri"/>
          <w:sz w:val="22"/>
          <w:szCs w:val="22"/>
        </w:rPr>
        <w:t xml:space="preserve"> </w:t>
      </w:r>
      <w:r w:rsidR="00250B3C">
        <w:rPr>
          <w:rFonts w:ascii="Calibri" w:hAnsi="Calibri" w:cs="Calibri"/>
          <w:sz w:val="22"/>
          <w:szCs w:val="22"/>
        </w:rPr>
        <w:t xml:space="preserve"> during [your] tenure</w:t>
      </w:r>
      <w:r w:rsidR="003770E4">
        <w:rPr>
          <w:rFonts w:ascii="Calibri" w:hAnsi="Calibri" w:cs="Calibri"/>
          <w:sz w:val="22"/>
          <w:szCs w:val="22"/>
        </w:rPr>
        <w:t>,”</w:t>
      </w:r>
      <w:r w:rsidR="00250B3C">
        <w:rPr>
          <w:rFonts w:ascii="Calibri" w:hAnsi="Calibri" w:cs="Calibri"/>
          <w:sz w:val="22"/>
          <w:szCs w:val="22"/>
        </w:rPr>
        <w:t xml:space="preserve"> but </w:t>
      </w:r>
      <w:r w:rsidR="003770E4">
        <w:rPr>
          <w:rFonts w:ascii="Calibri" w:hAnsi="Calibri" w:cs="Calibri"/>
          <w:sz w:val="22"/>
          <w:szCs w:val="22"/>
        </w:rPr>
        <w:t xml:space="preserve">also assert that this restriction would not apply to representing clients in matter that may have come into </w:t>
      </w:r>
      <w:r w:rsidR="00373BE6">
        <w:rPr>
          <w:rFonts w:ascii="Calibri" w:hAnsi="Calibri" w:cs="Calibri"/>
          <w:sz w:val="22"/>
          <w:szCs w:val="22"/>
        </w:rPr>
        <w:t xml:space="preserve">  </w:t>
      </w:r>
      <w:r w:rsidR="003770E4">
        <w:rPr>
          <w:rFonts w:ascii="Calibri" w:hAnsi="Calibri" w:cs="Calibri"/>
          <w:sz w:val="22"/>
          <w:szCs w:val="22"/>
        </w:rPr>
        <w:t>H</w:t>
      </w:r>
      <w:r w:rsidR="00250B3C">
        <w:rPr>
          <w:rFonts w:ascii="Calibri" w:hAnsi="Calibri" w:cs="Calibri"/>
          <w:sz w:val="22"/>
          <w:szCs w:val="22"/>
        </w:rPr>
        <w:t xml:space="preserve"> after [your]</w:t>
      </w:r>
      <w:r w:rsidR="00593408">
        <w:rPr>
          <w:rFonts w:ascii="Calibri" w:hAnsi="Calibri" w:cs="Calibri"/>
          <w:sz w:val="22"/>
          <w:szCs w:val="22"/>
        </w:rPr>
        <w:t xml:space="preserve"> </w:t>
      </w:r>
      <w:r w:rsidR="00250B3C">
        <w:rPr>
          <w:rFonts w:ascii="Calibri" w:hAnsi="Calibri" w:cs="Calibri"/>
          <w:sz w:val="22"/>
          <w:szCs w:val="22"/>
        </w:rPr>
        <w:t xml:space="preserve">departure.” </w:t>
      </w:r>
      <w:r>
        <w:rPr>
          <w:rFonts w:ascii="Calibri" w:hAnsi="Calibri" w:cs="Calibri"/>
          <w:sz w:val="22"/>
          <w:szCs w:val="22"/>
        </w:rPr>
        <w:t xml:space="preserve"> Even though you have raised no new material facts that might cause the Board to alter its opinion, you do present some legal argumentation.  In the interest of clarity, the Board will treat these arguments as “new circumstances” and address them in this letter, even though the Board had, in issuing its opinion, already </w:t>
      </w:r>
      <w:r w:rsidR="0088507A">
        <w:rPr>
          <w:rFonts w:ascii="Calibri" w:hAnsi="Calibri" w:cs="Calibri"/>
          <w:sz w:val="22"/>
          <w:szCs w:val="22"/>
        </w:rPr>
        <w:t xml:space="preserve">implicitly </w:t>
      </w:r>
      <w:r>
        <w:rPr>
          <w:rFonts w:ascii="Calibri" w:hAnsi="Calibri" w:cs="Calibri"/>
          <w:sz w:val="22"/>
          <w:szCs w:val="22"/>
        </w:rPr>
        <w:t>rejected your proffered interpretation of the Ordinance.</w:t>
      </w:r>
    </w:p>
    <w:p w:rsidR="009E1327" w:rsidRDefault="009E1327" w:rsidP="00D56317">
      <w:pPr>
        <w:widowControl/>
        <w:autoSpaceDE/>
        <w:autoSpaceDN/>
        <w:adjustRightInd/>
        <w:spacing w:after="-1"/>
        <w:jc w:val="both"/>
        <w:rPr>
          <w:rFonts w:ascii="Calibri" w:eastAsia="Calibri" w:hAnsi="Calibri"/>
          <w:sz w:val="22"/>
          <w:szCs w:val="22"/>
        </w:rPr>
      </w:pPr>
    </w:p>
    <w:p w:rsidR="00D01144" w:rsidRDefault="003D6BF2" w:rsidP="009E1327">
      <w:pPr>
        <w:widowControl/>
        <w:autoSpaceDE/>
        <w:autoSpaceDN/>
        <w:adjustRightInd/>
        <w:spacing w:after="-1"/>
        <w:jc w:val="both"/>
        <w:rPr>
          <w:rFonts w:ascii="Calibri" w:eastAsia="Calibri" w:hAnsi="Calibri"/>
          <w:sz w:val="22"/>
          <w:szCs w:val="22"/>
        </w:rPr>
      </w:pPr>
      <w:r>
        <w:rPr>
          <w:rFonts w:ascii="Calibri" w:eastAsia="Calibri" w:hAnsi="Calibri"/>
          <w:sz w:val="22"/>
          <w:szCs w:val="22"/>
        </w:rPr>
        <w:t>First, i</w:t>
      </w:r>
      <w:r w:rsidR="009E1327">
        <w:rPr>
          <w:rFonts w:ascii="Calibri" w:eastAsia="Calibri" w:hAnsi="Calibri"/>
          <w:sz w:val="22"/>
          <w:szCs w:val="22"/>
        </w:rPr>
        <w:t>n reviewing your request for re</w:t>
      </w:r>
      <w:r w:rsidR="00FC185C">
        <w:rPr>
          <w:rFonts w:ascii="Calibri" w:eastAsia="Calibri" w:hAnsi="Calibri"/>
          <w:sz w:val="22"/>
          <w:szCs w:val="22"/>
        </w:rPr>
        <w:t xml:space="preserve">consideration, </w:t>
      </w:r>
      <w:r w:rsidR="00FC460D">
        <w:rPr>
          <w:rFonts w:ascii="Calibri" w:eastAsia="Calibri" w:hAnsi="Calibri"/>
          <w:sz w:val="22"/>
          <w:szCs w:val="22"/>
        </w:rPr>
        <w:t xml:space="preserve">the </w:t>
      </w:r>
      <w:r w:rsidR="00FC185C">
        <w:rPr>
          <w:rFonts w:ascii="Calibri" w:eastAsia="Calibri" w:hAnsi="Calibri"/>
          <w:sz w:val="22"/>
          <w:szCs w:val="22"/>
        </w:rPr>
        <w:t xml:space="preserve">Board </w:t>
      </w:r>
      <w:r w:rsidR="00F7290B">
        <w:rPr>
          <w:rFonts w:ascii="Calibri" w:eastAsia="Calibri" w:hAnsi="Calibri"/>
          <w:sz w:val="22"/>
          <w:szCs w:val="22"/>
        </w:rPr>
        <w:t xml:space="preserve">redirects your attention to the </w:t>
      </w:r>
      <w:r>
        <w:rPr>
          <w:rFonts w:ascii="Calibri" w:eastAsia="Calibri" w:hAnsi="Calibri"/>
          <w:sz w:val="22"/>
          <w:szCs w:val="22"/>
        </w:rPr>
        <w:t xml:space="preserve">text of </w:t>
      </w:r>
      <w:r w:rsidR="0088507A">
        <w:rPr>
          <w:rFonts w:ascii="Calibri" w:eastAsia="Calibri" w:hAnsi="Calibri"/>
          <w:sz w:val="22"/>
          <w:szCs w:val="22"/>
        </w:rPr>
        <w:t>its</w:t>
      </w:r>
      <w:r w:rsidR="00457083">
        <w:rPr>
          <w:rFonts w:ascii="Calibri" w:eastAsia="Calibri" w:hAnsi="Calibri"/>
          <w:sz w:val="22"/>
          <w:szCs w:val="22"/>
        </w:rPr>
        <w:t xml:space="preserve">           </w:t>
      </w:r>
      <w:r>
        <w:rPr>
          <w:rFonts w:ascii="Calibri" w:eastAsia="Calibri" w:hAnsi="Calibri"/>
          <w:sz w:val="22"/>
          <w:szCs w:val="22"/>
        </w:rPr>
        <w:t xml:space="preserve"> advisory opinion.</w:t>
      </w:r>
      <w:r w:rsidR="00F7290B">
        <w:rPr>
          <w:rFonts w:ascii="Calibri" w:eastAsia="Calibri" w:hAnsi="Calibri"/>
          <w:sz w:val="22"/>
          <w:szCs w:val="22"/>
        </w:rPr>
        <w:t xml:space="preserve"> </w:t>
      </w:r>
      <w:r>
        <w:rPr>
          <w:rFonts w:ascii="Calibri" w:eastAsia="Calibri" w:hAnsi="Calibri"/>
          <w:sz w:val="22"/>
          <w:szCs w:val="22"/>
        </w:rPr>
        <w:t>In issuing it, t</w:t>
      </w:r>
      <w:r w:rsidR="00F7290B">
        <w:rPr>
          <w:rFonts w:ascii="Calibri" w:eastAsia="Calibri" w:hAnsi="Calibri"/>
          <w:sz w:val="22"/>
          <w:szCs w:val="22"/>
        </w:rPr>
        <w:t xml:space="preserve">he </w:t>
      </w:r>
      <w:r w:rsidR="004A2C2B">
        <w:rPr>
          <w:rFonts w:ascii="Calibri" w:eastAsia="Calibri" w:hAnsi="Calibri"/>
          <w:sz w:val="22"/>
          <w:szCs w:val="22"/>
        </w:rPr>
        <w:t xml:space="preserve">Board relied upon </w:t>
      </w:r>
      <w:r w:rsidR="004A2C2B" w:rsidRPr="0088507A">
        <w:rPr>
          <w:rFonts w:ascii="Calibri" w:eastAsia="Calibri" w:hAnsi="Calibri" w:cs="Calibri"/>
          <w:i/>
          <w:sz w:val="22"/>
          <w:szCs w:val="22"/>
        </w:rPr>
        <w:t>§</w:t>
      </w:r>
      <w:r w:rsidR="004A2C2B" w:rsidRPr="0088507A">
        <w:rPr>
          <w:rFonts w:ascii="Calibri" w:eastAsia="Calibri" w:hAnsi="Calibri"/>
          <w:i/>
          <w:sz w:val="22"/>
          <w:szCs w:val="22"/>
        </w:rPr>
        <w:t>2-156-100(b)</w:t>
      </w:r>
      <w:r w:rsidR="004A2C2B">
        <w:rPr>
          <w:rFonts w:ascii="Calibri" w:eastAsia="Calibri" w:hAnsi="Calibri"/>
          <w:sz w:val="22"/>
          <w:szCs w:val="22"/>
        </w:rPr>
        <w:t xml:space="preserve"> of the Ordinance</w:t>
      </w:r>
      <w:r w:rsidR="00D06BA5">
        <w:rPr>
          <w:rFonts w:ascii="Calibri" w:eastAsia="Calibri" w:hAnsi="Calibri"/>
          <w:sz w:val="22"/>
          <w:szCs w:val="22"/>
        </w:rPr>
        <w:t xml:space="preserve">, </w:t>
      </w:r>
      <w:r w:rsidR="00D06BA5" w:rsidRPr="0088507A">
        <w:rPr>
          <w:rFonts w:ascii="Calibri" w:eastAsia="Calibri" w:hAnsi="Calibri"/>
          <w:i/>
          <w:sz w:val="22"/>
          <w:szCs w:val="22"/>
        </w:rPr>
        <w:t xml:space="preserve">not </w:t>
      </w:r>
      <w:r w:rsidR="00D06BA5" w:rsidRPr="0088507A">
        <w:rPr>
          <w:rFonts w:ascii="Calibri" w:eastAsia="Calibri" w:hAnsi="Calibri" w:cs="Calibri"/>
          <w:i/>
          <w:sz w:val="22"/>
          <w:szCs w:val="22"/>
        </w:rPr>
        <w:t>§</w:t>
      </w:r>
      <w:r w:rsidR="00D06BA5" w:rsidRPr="0088507A">
        <w:rPr>
          <w:rFonts w:ascii="Calibri" w:eastAsia="Calibri" w:hAnsi="Calibri"/>
          <w:i/>
          <w:sz w:val="22"/>
          <w:szCs w:val="22"/>
        </w:rPr>
        <w:t>2-156-100(</w:t>
      </w:r>
      <w:r w:rsidR="00A278A8" w:rsidRPr="0088507A">
        <w:rPr>
          <w:rFonts w:ascii="Calibri" w:eastAsia="Calibri" w:hAnsi="Calibri"/>
          <w:i/>
          <w:sz w:val="22"/>
          <w:szCs w:val="22"/>
        </w:rPr>
        <w:t>a</w:t>
      </w:r>
      <w:r w:rsidR="00D06BA5" w:rsidRPr="0088507A">
        <w:rPr>
          <w:rFonts w:ascii="Calibri" w:eastAsia="Calibri" w:hAnsi="Calibri"/>
          <w:i/>
          <w:sz w:val="22"/>
          <w:szCs w:val="22"/>
        </w:rPr>
        <w:t>)</w:t>
      </w:r>
      <w:r w:rsidR="00D06BA5">
        <w:rPr>
          <w:rFonts w:ascii="Calibri" w:eastAsia="Calibri" w:hAnsi="Calibri"/>
          <w:sz w:val="22"/>
          <w:szCs w:val="22"/>
        </w:rPr>
        <w:t xml:space="preserve">, </w:t>
      </w:r>
      <w:r w:rsidR="004A2C2B">
        <w:rPr>
          <w:rFonts w:ascii="Calibri" w:eastAsia="Calibri" w:hAnsi="Calibri"/>
          <w:sz w:val="22"/>
          <w:szCs w:val="22"/>
        </w:rPr>
        <w:t xml:space="preserve">in </w:t>
      </w:r>
      <w:r>
        <w:rPr>
          <w:rFonts w:ascii="Calibri" w:eastAsia="Calibri" w:hAnsi="Calibri"/>
          <w:sz w:val="22"/>
          <w:szCs w:val="22"/>
        </w:rPr>
        <w:t xml:space="preserve">determining that </w:t>
      </w:r>
      <w:r w:rsidR="00F01550">
        <w:rPr>
          <w:rFonts w:ascii="Calibri" w:eastAsia="Calibri" w:hAnsi="Calibri"/>
          <w:sz w:val="22"/>
          <w:szCs w:val="22"/>
        </w:rPr>
        <w:t>the Ordinance’s one (1) year prohibition applies to you</w:t>
      </w:r>
      <w:r w:rsidR="0088507A">
        <w:rPr>
          <w:rFonts w:ascii="Calibri" w:eastAsia="Calibri" w:hAnsi="Calibri"/>
          <w:sz w:val="22"/>
          <w:szCs w:val="22"/>
        </w:rPr>
        <w:t>.  That section states</w:t>
      </w:r>
      <w:r w:rsidR="00F01550">
        <w:rPr>
          <w:rFonts w:ascii="Calibri" w:eastAsia="Calibri" w:hAnsi="Calibri"/>
          <w:sz w:val="22"/>
          <w:szCs w:val="22"/>
        </w:rPr>
        <w:t>:</w:t>
      </w:r>
    </w:p>
    <w:p w:rsidR="00D01144" w:rsidRDefault="00D01144" w:rsidP="009E1327">
      <w:pPr>
        <w:widowControl/>
        <w:autoSpaceDE/>
        <w:autoSpaceDN/>
        <w:adjustRightInd/>
        <w:spacing w:after="-1"/>
        <w:jc w:val="both"/>
        <w:rPr>
          <w:rFonts w:ascii="Calibri" w:eastAsia="Calibri" w:hAnsi="Calibri"/>
          <w:sz w:val="22"/>
          <w:szCs w:val="22"/>
        </w:rPr>
      </w:pPr>
    </w:p>
    <w:p w:rsidR="00D01144" w:rsidRPr="00430777" w:rsidRDefault="00D01144" w:rsidP="00D011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rPr>
          <w:rFonts w:ascii="Calibri" w:hAnsi="Calibri" w:cs="Calibri"/>
          <w:i/>
          <w:iCs/>
          <w:sz w:val="22"/>
          <w:szCs w:val="22"/>
        </w:rPr>
      </w:pPr>
      <w:r w:rsidRPr="00430777">
        <w:rPr>
          <w:rFonts w:ascii="Calibri" w:hAnsi="Calibri" w:cs="Calibri"/>
          <w:i/>
          <w:iCs/>
          <w:sz w:val="22"/>
          <w:szCs w:val="22"/>
        </w:rPr>
        <w:t>No former official or employee shall, for a period of one year after termination of the official’s or employee’s term of office or employment, assist or represent any person in any business transaction involving the City or any of its agencies, if the official or employee participated personally and substantially in the subject matter of the transaction during his term of office or employment; provided, that if the official or employee exercised contract management authority with respect to a contract this prohibition shall be permanent as to that contract.</w:t>
      </w:r>
    </w:p>
    <w:p w:rsidR="00D01144" w:rsidRDefault="00D01144" w:rsidP="00D01144">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0" w:right="432"/>
        <w:rPr>
          <w:rFonts w:ascii="Calibri" w:hAnsi="Calibri" w:cs="Calibri"/>
          <w:i/>
          <w:iCs/>
          <w:sz w:val="22"/>
          <w:szCs w:val="22"/>
        </w:rPr>
      </w:pPr>
    </w:p>
    <w:p w:rsidR="00D01144" w:rsidRPr="00A178E1" w:rsidRDefault="00D01144" w:rsidP="00A278A8">
      <w:pPr>
        <w:tabs>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both"/>
        <w:rPr>
          <w:rFonts w:ascii="Calibri" w:hAnsi="Calibri" w:cs="Calibri"/>
          <w:iCs/>
          <w:sz w:val="22"/>
          <w:szCs w:val="22"/>
        </w:rPr>
      </w:pPr>
      <w:r>
        <w:rPr>
          <w:rFonts w:ascii="Calibri" w:hAnsi="Calibri" w:cs="Calibri"/>
          <w:iCs/>
          <w:sz w:val="22"/>
          <w:szCs w:val="22"/>
        </w:rPr>
        <w:t xml:space="preserve">The Board, having </w:t>
      </w:r>
      <w:r w:rsidR="0088507A">
        <w:rPr>
          <w:rFonts w:ascii="Calibri" w:hAnsi="Calibri" w:cs="Calibri"/>
          <w:iCs/>
          <w:sz w:val="22"/>
          <w:szCs w:val="22"/>
        </w:rPr>
        <w:t>reviewed your responsibilities as a</w:t>
      </w:r>
      <w:r w:rsidR="00457083">
        <w:rPr>
          <w:rFonts w:ascii="Calibri" w:hAnsi="Calibri" w:cs="Calibri"/>
          <w:iCs/>
          <w:sz w:val="22"/>
          <w:szCs w:val="22"/>
        </w:rPr>
        <w:t>n [officer]</w:t>
      </w:r>
      <w:r w:rsidR="0088507A">
        <w:rPr>
          <w:rFonts w:ascii="Calibri" w:hAnsi="Calibri" w:cs="Calibri"/>
          <w:iCs/>
          <w:sz w:val="22"/>
          <w:szCs w:val="22"/>
        </w:rPr>
        <w:t xml:space="preserve">, </w:t>
      </w:r>
      <w:r>
        <w:rPr>
          <w:rFonts w:ascii="Calibri" w:hAnsi="Calibri" w:cs="Calibri"/>
          <w:iCs/>
          <w:sz w:val="22"/>
          <w:szCs w:val="22"/>
        </w:rPr>
        <w:t xml:space="preserve">concluded that you were personally and substantially involved in the subject matter of the administration of justice by </w:t>
      </w:r>
      <w:r w:rsidR="00250B3C">
        <w:rPr>
          <w:rFonts w:ascii="Calibri" w:hAnsi="Calibri" w:cs="Calibri"/>
          <w:iCs/>
          <w:sz w:val="22"/>
          <w:szCs w:val="22"/>
        </w:rPr>
        <w:t xml:space="preserve">the </w:t>
      </w:r>
      <w:r w:rsidR="00457083">
        <w:rPr>
          <w:rFonts w:ascii="Calibri" w:hAnsi="Calibri" w:cs="Calibri"/>
          <w:iCs/>
          <w:sz w:val="22"/>
          <w:szCs w:val="22"/>
        </w:rPr>
        <w:t xml:space="preserve">   </w:t>
      </w:r>
      <w:r>
        <w:rPr>
          <w:rFonts w:ascii="Calibri" w:hAnsi="Calibri" w:cs="Calibri"/>
          <w:iCs/>
          <w:sz w:val="22"/>
          <w:szCs w:val="22"/>
        </w:rPr>
        <w:t>H</w:t>
      </w:r>
      <w:r w:rsidR="00A178E1">
        <w:rPr>
          <w:rFonts w:ascii="Calibri" w:hAnsi="Calibri" w:cs="Calibri"/>
          <w:iCs/>
          <w:sz w:val="22"/>
          <w:szCs w:val="22"/>
        </w:rPr>
        <w:t xml:space="preserve">, </w:t>
      </w:r>
      <w:r w:rsidR="0088507A">
        <w:rPr>
          <w:rFonts w:ascii="Calibri" w:hAnsi="Calibri" w:cs="Calibri"/>
          <w:iCs/>
          <w:sz w:val="22"/>
          <w:szCs w:val="22"/>
        </w:rPr>
        <w:t xml:space="preserve">and then, accordingly, </w:t>
      </w:r>
      <w:r w:rsidR="00A178E1">
        <w:rPr>
          <w:rFonts w:ascii="Calibri" w:hAnsi="Calibri" w:cs="Calibri"/>
          <w:iCs/>
          <w:sz w:val="22"/>
          <w:szCs w:val="22"/>
        </w:rPr>
        <w:t>determined that you are subject to the one (1) year prohibition</w:t>
      </w:r>
      <w:r w:rsidR="0088507A">
        <w:rPr>
          <w:rFonts w:ascii="Calibri" w:hAnsi="Calibri" w:cs="Calibri"/>
          <w:iCs/>
          <w:sz w:val="22"/>
          <w:szCs w:val="22"/>
        </w:rPr>
        <w:t xml:space="preserve"> as to that subject matter</w:t>
      </w:r>
      <w:r w:rsidR="00A178E1">
        <w:rPr>
          <w:rFonts w:ascii="Calibri" w:hAnsi="Calibri" w:cs="Calibri"/>
          <w:iCs/>
          <w:sz w:val="22"/>
          <w:szCs w:val="22"/>
        </w:rPr>
        <w:t>.</w:t>
      </w:r>
    </w:p>
    <w:p w:rsidR="009E1327" w:rsidRDefault="009E1327" w:rsidP="009E1327">
      <w:pPr>
        <w:widowControl/>
        <w:autoSpaceDE/>
        <w:autoSpaceDN/>
        <w:adjustRightInd/>
        <w:spacing w:after="-1"/>
        <w:jc w:val="both"/>
        <w:rPr>
          <w:rFonts w:ascii="Calibri" w:eastAsia="Calibri" w:hAnsi="Calibri"/>
          <w:sz w:val="22"/>
          <w:szCs w:val="22"/>
        </w:rPr>
      </w:pPr>
    </w:p>
    <w:p w:rsidR="00214474" w:rsidRDefault="00C27DF3" w:rsidP="00D06BA5">
      <w:pPr>
        <w:widowControl/>
        <w:autoSpaceDE/>
        <w:autoSpaceDN/>
        <w:adjustRightInd/>
        <w:spacing w:after="100" w:afterAutospacing="1"/>
        <w:jc w:val="both"/>
        <w:rPr>
          <w:rFonts w:ascii="Calibri" w:eastAsia="Calibri" w:hAnsi="Calibri"/>
          <w:sz w:val="22"/>
          <w:szCs w:val="22"/>
        </w:rPr>
      </w:pPr>
      <w:r>
        <w:rPr>
          <w:rFonts w:ascii="Calibri" w:eastAsia="Calibri" w:hAnsi="Calibri"/>
          <w:sz w:val="22"/>
          <w:szCs w:val="22"/>
        </w:rPr>
        <w:t>Second, i</w:t>
      </w:r>
      <w:r w:rsidR="00A178E1">
        <w:rPr>
          <w:rFonts w:ascii="Calibri" w:eastAsia="Calibri" w:hAnsi="Calibri"/>
          <w:sz w:val="22"/>
          <w:szCs w:val="22"/>
        </w:rPr>
        <w:t>n your re</w:t>
      </w:r>
      <w:r w:rsidR="00214474">
        <w:rPr>
          <w:rFonts w:ascii="Calibri" w:eastAsia="Calibri" w:hAnsi="Calibri"/>
          <w:sz w:val="22"/>
          <w:szCs w:val="22"/>
        </w:rPr>
        <w:t xml:space="preserve">quest for reconsideration, you </w:t>
      </w:r>
      <w:r w:rsidR="00A178E1">
        <w:rPr>
          <w:rFonts w:ascii="Calibri" w:eastAsia="Calibri" w:hAnsi="Calibri"/>
          <w:sz w:val="22"/>
          <w:szCs w:val="22"/>
        </w:rPr>
        <w:t xml:space="preserve">rely upon </w:t>
      </w:r>
      <w:r w:rsidR="00214474">
        <w:rPr>
          <w:rFonts w:ascii="Calibri" w:eastAsia="Calibri" w:hAnsi="Calibri"/>
          <w:sz w:val="22"/>
          <w:szCs w:val="22"/>
        </w:rPr>
        <w:t xml:space="preserve">Illinois Rule of Professional </w:t>
      </w:r>
      <w:r w:rsidR="001A546C">
        <w:rPr>
          <w:rFonts w:ascii="Calibri" w:eastAsia="Calibri" w:hAnsi="Calibri"/>
          <w:sz w:val="22"/>
          <w:szCs w:val="22"/>
        </w:rPr>
        <w:t xml:space="preserve">Conduct </w:t>
      </w:r>
      <w:r w:rsidR="00A178E1">
        <w:rPr>
          <w:rFonts w:ascii="Calibri" w:eastAsia="Calibri" w:hAnsi="Calibri"/>
          <w:sz w:val="22"/>
          <w:szCs w:val="22"/>
        </w:rPr>
        <w:t>5.6</w:t>
      </w:r>
      <w:r>
        <w:rPr>
          <w:rStyle w:val="FootnoteReference"/>
          <w:rFonts w:ascii="Calibri" w:eastAsia="Calibri" w:hAnsi="Calibri"/>
          <w:sz w:val="22"/>
          <w:szCs w:val="22"/>
        </w:rPr>
        <w:footnoteReference w:id="2"/>
      </w:r>
      <w:r w:rsidR="00A178E1">
        <w:rPr>
          <w:rFonts w:ascii="Calibri" w:eastAsia="Calibri" w:hAnsi="Calibri"/>
          <w:sz w:val="22"/>
          <w:szCs w:val="22"/>
        </w:rPr>
        <w:t xml:space="preserve"> in positing that you </w:t>
      </w:r>
      <w:r w:rsidR="00214474">
        <w:rPr>
          <w:rFonts w:ascii="Calibri" w:eastAsia="Calibri" w:hAnsi="Calibri"/>
          <w:sz w:val="22"/>
          <w:szCs w:val="22"/>
        </w:rPr>
        <w:t>cannot</w:t>
      </w:r>
      <w:r w:rsidR="00A178E1">
        <w:rPr>
          <w:rFonts w:ascii="Calibri" w:eastAsia="Calibri" w:hAnsi="Calibri"/>
          <w:sz w:val="22"/>
          <w:szCs w:val="22"/>
        </w:rPr>
        <w:t xml:space="preserve"> be restricted in your practice of law upon leaving City service. </w:t>
      </w:r>
    </w:p>
    <w:p w:rsidR="00A178E1" w:rsidRDefault="00C27DF3" w:rsidP="009E1327">
      <w:pPr>
        <w:widowControl/>
        <w:autoSpaceDE/>
        <w:autoSpaceDN/>
        <w:adjustRightInd/>
        <w:spacing w:after="-1"/>
        <w:jc w:val="both"/>
        <w:rPr>
          <w:rFonts w:ascii="Calibri" w:eastAsia="Calibri" w:hAnsi="Calibri"/>
          <w:sz w:val="22"/>
          <w:szCs w:val="22"/>
        </w:rPr>
      </w:pPr>
      <w:r>
        <w:rPr>
          <w:rFonts w:ascii="Calibri" w:eastAsia="Calibri" w:hAnsi="Calibri"/>
          <w:sz w:val="22"/>
          <w:szCs w:val="22"/>
        </w:rPr>
        <w:t>However,</w:t>
      </w:r>
      <w:r w:rsidR="00A178E1">
        <w:rPr>
          <w:rFonts w:ascii="Calibri" w:eastAsia="Calibri" w:hAnsi="Calibri"/>
          <w:sz w:val="22"/>
          <w:szCs w:val="22"/>
        </w:rPr>
        <w:t xml:space="preserve"> as indicated in footnote 5 of the Board’s advisory opinion, </w:t>
      </w:r>
      <w:r w:rsidR="00214474">
        <w:rPr>
          <w:rFonts w:ascii="Calibri" w:eastAsia="Calibri" w:hAnsi="Calibri"/>
          <w:sz w:val="22"/>
          <w:szCs w:val="22"/>
        </w:rPr>
        <w:t xml:space="preserve">it is the </w:t>
      </w:r>
      <w:r>
        <w:rPr>
          <w:rFonts w:ascii="Calibri" w:eastAsia="Calibri" w:hAnsi="Calibri"/>
          <w:sz w:val="22"/>
          <w:szCs w:val="22"/>
        </w:rPr>
        <w:t>advice</w:t>
      </w:r>
      <w:r w:rsidR="001A546C">
        <w:rPr>
          <w:rFonts w:ascii="Calibri" w:eastAsia="Calibri" w:hAnsi="Calibri"/>
          <w:sz w:val="22"/>
          <w:szCs w:val="22"/>
        </w:rPr>
        <w:t xml:space="preserve"> </w:t>
      </w:r>
      <w:r w:rsidR="00214474">
        <w:rPr>
          <w:rFonts w:ascii="Calibri" w:eastAsia="Calibri" w:hAnsi="Calibri"/>
          <w:sz w:val="22"/>
          <w:szCs w:val="22"/>
        </w:rPr>
        <w:t xml:space="preserve">of </w:t>
      </w:r>
      <w:r w:rsidR="001A546C">
        <w:rPr>
          <w:rFonts w:ascii="Calibri" w:eastAsia="Calibri" w:hAnsi="Calibri"/>
          <w:sz w:val="22"/>
          <w:szCs w:val="22"/>
        </w:rPr>
        <w:t xml:space="preserve">the </w:t>
      </w:r>
      <w:r w:rsidR="00457083">
        <w:rPr>
          <w:rFonts w:ascii="Calibri" w:eastAsia="Calibri" w:hAnsi="Calibri"/>
          <w:sz w:val="22"/>
          <w:szCs w:val="22"/>
        </w:rPr>
        <w:t>[</w:t>
      </w:r>
      <w:r w:rsidR="00061099">
        <w:rPr>
          <w:rFonts w:ascii="Calibri" w:eastAsia="Calibri" w:hAnsi="Calibri"/>
          <w:sz w:val="22"/>
          <w:szCs w:val="22"/>
        </w:rPr>
        <w:t xml:space="preserve">Senior </w:t>
      </w:r>
      <w:r w:rsidR="00457083">
        <w:rPr>
          <w:rFonts w:ascii="Calibri" w:eastAsia="Calibri" w:hAnsi="Calibri"/>
          <w:sz w:val="22"/>
          <w:szCs w:val="22"/>
        </w:rPr>
        <w:t xml:space="preserve">Title]      </w:t>
      </w:r>
      <w:r w:rsidR="00A178E1">
        <w:rPr>
          <w:rFonts w:ascii="Calibri" w:eastAsia="Calibri" w:hAnsi="Calibri"/>
          <w:sz w:val="22"/>
          <w:szCs w:val="22"/>
        </w:rPr>
        <w:t xml:space="preserve"> for the Illinois Attorney and Disciplinary Commission [“ARDC”</w:t>
      </w:r>
      <w:r w:rsidR="00214474">
        <w:rPr>
          <w:rFonts w:ascii="Calibri" w:eastAsia="Calibri" w:hAnsi="Calibri"/>
          <w:sz w:val="22"/>
          <w:szCs w:val="22"/>
        </w:rPr>
        <w:t>] that a municipality</w:t>
      </w:r>
      <w:r w:rsidR="005503CB">
        <w:rPr>
          <w:rFonts w:ascii="Calibri" w:eastAsia="Calibri" w:hAnsi="Calibri"/>
          <w:sz w:val="22"/>
          <w:szCs w:val="22"/>
        </w:rPr>
        <w:t xml:space="preserve"> or other governmental entity</w:t>
      </w:r>
      <w:r>
        <w:rPr>
          <w:rFonts w:ascii="Calibri" w:eastAsia="Calibri" w:hAnsi="Calibri"/>
          <w:sz w:val="22"/>
          <w:szCs w:val="22"/>
        </w:rPr>
        <w:t>, such as the City of Chicago,</w:t>
      </w:r>
      <w:r w:rsidR="00214474">
        <w:rPr>
          <w:rFonts w:ascii="Calibri" w:eastAsia="Calibri" w:hAnsi="Calibri"/>
          <w:sz w:val="22"/>
          <w:szCs w:val="22"/>
        </w:rPr>
        <w:t xml:space="preserve"> </w:t>
      </w:r>
      <w:r w:rsidR="00214474" w:rsidRPr="00214474">
        <w:rPr>
          <w:rFonts w:ascii="Calibri" w:eastAsia="Calibri" w:hAnsi="Calibri"/>
          <w:b/>
          <w:sz w:val="22"/>
          <w:szCs w:val="22"/>
        </w:rPr>
        <w:t>may</w:t>
      </w:r>
      <w:r w:rsidR="00214474">
        <w:rPr>
          <w:rFonts w:ascii="Calibri" w:eastAsia="Calibri" w:hAnsi="Calibri"/>
          <w:sz w:val="22"/>
          <w:szCs w:val="22"/>
        </w:rPr>
        <w:t xml:space="preserve"> reasonably restrict a government attorney’s post-government practice of law.  Further, he stated that</w:t>
      </w:r>
      <w:r>
        <w:rPr>
          <w:rFonts w:ascii="Calibri" w:eastAsia="Calibri" w:hAnsi="Calibri"/>
          <w:sz w:val="22"/>
          <w:szCs w:val="22"/>
        </w:rPr>
        <w:t xml:space="preserve"> Rule</w:t>
      </w:r>
      <w:r w:rsidR="009A1D0A">
        <w:rPr>
          <w:rFonts w:ascii="Calibri" w:eastAsia="Calibri" w:hAnsi="Calibri"/>
          <w:sz w:val="22"/>
          <w:szCs w:val="22"/>
        </w:rPr>
        <w:t xml:space="preserve"> 5.6</w:t>
      </w:r>
      <w:r>
        <w:rPr>
          <w:rFonts w:ascii="Calibri" w:eastAsia="Calibri" w:hAnsi="Calibri"/>
          <w:sz w:val="22"/>
          <w:szCs w:val="22"/>
        </w:rPr>
        <w:t>,</w:t>
      </w:r>
      <w:r w:rsidR="00214474">
        <w:rPr>
          <w:rFonts w:ascii="Calibri" w:eastAsia="Calibri" w:hAnsi="Calibri"/>
          <w:sz w:val="22"/>
          <w:szCs w:val="22"/>
        </w:rPr>
        <w:t xml:space="preserve"> which prohibits </w:t>
      </w:r>
      <w:r w:rsidR="0088507A">
        <w:rPr>
          <w:rFonts w:ascii="Calibri" w:eastAsia="Calibri" w:hAnsi="Calibri"/>
          <w:sz w:val="22"/>
          <w:szCs w:val="22"/>
        </w:rPr>
        <w:t xml:space="preserve">lawyers from imposing </w:t>
      </w:r>
      <w:r w:rsidR="00214474">
        <w:rPr>
          <w:rFonts w:ascii="Calibri" w:eastAsia="Calibri" w:hAnsi="Calibri"/>
          <w:sz w:val="22"/>
          <w:szCs w:val="22"/>
        </w:rPr>
        <w:t xml:space="preserve">certain restrictions on an attorney’s right to practice, is applicable to </w:t>
      </w:r>
      <w:r w:rsidR="0088507A">
        <w:rPr>
          <w:rFonts w:ascii="Calibri" w:eastAsia="Calibri" w:hAnsi="Calibri"/>
          <w:sz w:val="22"/>
          <w:szCs w:val="22"/>
        </w:rPr>
        <w:t xml:space="preserve">lawyers in </w:t>
      </w:r>
      <w:r w:rsidR="00214474">
        <w:rPr>
          <w:rFonts w:ascii="Calibri" w:eastAsia="Calibri" w:hAnsi="Calibri"/>
          <w:sz w:val="22"/>
          <w:szCs w:val="22"/>
        </w:rPr>
        <w:t xml:space="preserve">the private sector, </w:t>
      </w:r>
      <w:r w:rsidR="009A1D0A">
        <w:rPr>
          <w:rFonts w:ascii="Calibri" w:eastAsia="Calibri" w:hAnsi="Calibri"/>
          <w:sz w:val="22"/>
          <w:szCs w:val="22"/>
        </w:rPr>
        <w:t>and</w:t>
      </w:r>
      <w:r w:rsidR="00214474">
        <w:rPr>
          <w:rFonts w:ascii="Calibri" w:eastAsia="Calibri" w:hAnsi="Calibri"/>
          <w:sz w:val="22"/>
          <w:szCs w:val="22"/>
        </w:rPr>
        <w:t xml:space="preserve">, to his knowledge, has never been applied to </w:t>
      </w:r>
      <w:r w:rsidR="0088507A">
        <w:rPr>
          <w:rFonts w:ascii="Calibri" w:eastAsia="Calibri" w:hAnsi="Calibri"/>
          <w:sz w:val="22"/>
          <w:szCs w:val="22"/>
        </w:rPr>
        <w:t xml:space="preserve">lawyers in </w:t>
      </w:r>
      <w:r w:rsidR="00214474">
        <w:rPr>
          <w:rFonts w:ascii="Calibri" w:eastAsia="Calibri" w:hAnsi="Calibri"/>
          <w:sz w:val="22"/>
          <w:szCs w:val="22"/>
        </w:rPr>
        <w:t>the public sector.</w:t>
      </w:r>
      <w:r w:rsidR="00D06BA5">
        <w:rPr>
          <w:rStyle w:val="FootnoteReference"/>
          <w:rFonts w:ascii="Calibri" w:eastAsia="Calibri" w:hAnsi="Calibri"/>
          <w:sz w:val="22"/>
          <w:szCs w:val="22"/>
        </w:rPr>
        <w:footnoteReference w:id="3"/>
      </w:r>
      <w:r w:rsidR="00457083">
        <w:rPr>
          <w:rFonts w:ascii="Calibri" w:eastAsia="Calibri" w:hAnsi="Calibri"/>
          <w:sz w:val="22"/>
          <w:szCs w:val="22"/>
        </w:rPr>
        <w:t xml:space="preserve">  The Rule itself explicitly refers to lawyer “offering or making” partnership or other </w:t>
      </w:r>
      <w:r w:rsidR="00457083" w:rsidRPr="00457083">
        <w:rPr>
          <w:rFonts w:ascii="Calibri" w:eastAsia="Calibri" w:hAnsi="Calibri"/>
          <w:sz w:val="22"/>
          <w:szCs w:val="22"/>
          <w:u w:val="single"/>
        </w:rPr>
        <w:t>agreements</w:t>
      </w:r>
      <w:r w:rsidR="00457083">
        <w:rPr>
          <w:rFonts w:ascii="Calibri" w:eastAsia="Calibri" w:hAnsi="Calibri"/>
          <w:sz w:val="22"/>
          <w:szCs w:val="22"/>
        </w:rPr>
        <w:t xml:space="preserve"> restricting the rights of other lawyers to practice.  By obvious contrast, in your case, we deal not with partnership or other employment agreements, but with a law – a Municipal Ordinance, duly and legally enacted by a legislative body, namely the Chicago City Council.</w:t>
      </w:r>
    </w:p>
    <w:p w:rsidR="00214474" w:rsidRDefault="005503CB" w:rsidP="009E1327">
      <w:pPr>
        <w:widowControl/>
        <w:autoSpaceDE/>
        <w:autoSpaceDN/>
        <w:adjustRightInd/>
        <w:spacing w:after="-1"/>
        <w:jc w:val="both"/>
        <w:rPr>
          <w:rFonts w:ascii="Calibri" w:eastAsia="Calibri" w:hAnsi="Calibri"/>
          <w:sz w:val="22"/>
          <w:szCs w:val="22"/>
        </w:rPr>
      </w:pPr>
      <w:r>
        <w:rPr>
          <w:rFonts w:ascii="Calibri" w:eastAsia="Calibri" w:hAnsi="Calibri"/>
          <w:sz w:val="22"/>
          <w:szCs w:val="22"/>
        </w:rPr>
        <w:lastRenderedPageBreak/>
        <w:t>Moreover</w:t>
      </w:r>
      <w:r w:rsidR="00214474">
        <w:rPr>
          <w:rFonts w:ascii="Calibri" w:eastAsia="Calibri" w:hAnsi="Calibri"/>
          <w:sz w:val="22"/>
          <w:szCs w:val="22"/>
        </w:rPr>
        <w:t xml:space="preserve">, </w:t>
      </w:r>
      <w:r w:rsidR="001A546C">
        <w:rPr>
          <w:rFonts w:ascii="Calibri" w:eastAsia="Calibri" w:hAnsi="Calibri"/>
          <w:sz w:val="22"/>
          <w:szCs w:val="22"/>
        </w:rPr>
        <w:t xml:space="preserve">as the Board noted in its advisory opinion, </w:t>
      </w:r>
      <w:r w:rsidR="000E49B8">
        <w:rPr>
          <w:rFonts w:ascii="Calibri" w:eastAsia="Calibri" w:hAnsi="Calibri"/>
          <w:sz w:val="22"/>
          <w:szCs w:val="22"/>
        </w:rPr>
        <w:t xml:space="preserve">under </w:t>
      </w:r>
      <w:r w:rsidR="00214474">
        <w:rPr>
          <w:rFonts w:ascii="Calibri" w:eastAsia="Calibri" w:hAnsi="Calibri"/>
          <w:sz w:val="22"/>
          <w:szCs w:val="22"/>
        </w:rPr>
        <w:t xml:space="preserve">federal conflict of interest law, certain senior level </w:t>
      </w:r>
      <w:r w:rsidR="00954B25">
        <w:rPr>
          <w:rFonts w:ascii="Calibri" w:eastAsia="Calibri" w:hAnsi="Calibri"/>
          <w:sz w:val="22"/>
          <w:szCs w:val="22"/>
        </w:rPr>
        <w:t xml:space="preserve">federal government </w:t>
      </w:r>
      <w:r w:rsidR="00214474">
        <w:rPr>
          <w:rFonts w:ascii="Calibri" w:eastAsia="Calibri" w:hAnsi="Calibri"/>
          <w:sz w:val="22"/>
          <w:szCs w:val="22"/>
        </w:rPr>
        <w:t>employees</w:t>
      </w:r>
      <w:r w:rsidR="000E49B8">
        <w:rPr>
          <w:rFonts w:ascii="Calibri" w:eastAsia="Calibri" w:hAnsi="Calibri"/>
          <w:sz w:val="22"/>
          <w:szCs w:val="22"/>
        </w:rPr>
        <w:t xml:space="preserve">, </w:t>
      </w:r>
      <w:r w:rsidR="000E49B8" w:rsidRPr="009A1D0A">
        <w:rPr>
          <w:rFonts w:ascii="Calibri" w:eastAsia="Calibri" w:hAnsi="Calibri"/>
          <w:i/>
          <w:sz w:val="22"/>
          <w:szCs w:val="22"/>
        </w:rPr>
        <w:t>including lawyers</w:t>
      </w:r>
      <w:r w:rsidR="000E49B8">
        <w:rPr>
          <w:rFonts w:ascii="Calibri" w:eastAsia="Calibri" w:hAnsi="Calibri"/>
          <w:sz w:val="22"/>
          <w:szCs w:val="22"/>
        </w:rPr>
        <w:t xml:space="preserve">, are subject to a one (1) </w:t>
      </w:r>
      <w:r w:rsidR="001A546C">
        <w:rPr>
          <w:rFonts w:ascii="Calibri" w:eastAsia="Calibri" w:hAnsi="Calibri"/>
          <w:sz w:val="22"/>
          <w:szCs w:val="22"/>
        </w:rPr>
        <w:t xml:space="preserve">year cooling off period, during which </w:t>
      </w:r>
      <w:r w:rsidR="001A546C" w:rsidRPr="009A1D0A">
        <w:rPr>
          <w:rFonts w:ascii="Calibri" w:eastAsia="Calibri" w:hAnsi="Calibri"/>
          <w:i/>
          <w:sz w:val="22"/>
          <w:szCs w:val="22"/>
        </w:rPr>
        <w:t>they cannot appear before their former agencies</w:t>
      </w:r>
      <w:r w:rsidRPr="009A1D0A">
        <w:rPr>
          <w:rFonts w:ascii="Calibri" w:eastAsia="Calibri" w:hAnsi="Calibri"/>
          <w:i/>
          <w:sz w:val="22"/>
          <w:szCs w:val="22"/>
        </w:rPr>
        <w:t>,</w:t>
      </w:r>
      <w:r w:rsidR="001A546C" w:rsidRPr="009A1D0A">
        <w:rPr>
          <w:rFonts w:ascii="Calibri" w:eastAsia="Calibri" w:hAnsi="Calibri"/>
          <w:i/>
          <w:sz w:val="22"/>
          <w:szCs w:val="22"/>
        </w:rPr>
        <w:t xml:space="preserve"> regardless whether they ha</w:t>
      </w:r>
      <w:r w:rsidR="004836F4" w:rsidRPr="009A1D0A">
        <w:rPr>
          <w:rFonts w:ascii="Calibri" w:eastAsia="Calibri" w:hAnsi="Calibri"/>
          <w:i/>
          <w:sz w:val="22"/>
          <w:szCs w:val="22"/>
        </w:rPr>
        <w:t>d</w:t>
      </w:r>
      <w:r w:rsidR="001A546C" w:rsidRPr="009A1D0A">
        <w:rPr>
          <w:rFonts w:ascii="Calibri" w:eastAsia="Calibri" w:hAnsi="Calibri"/>
          <w:i/>
          <w:sz w:val="22"/>
          <w:szCs w:val="22"/>
        </w:rPr>
        <w:t xml:space="preserve"> worked on the matter they wish to bring before their former agency while with the government</w:t>
      </w:r>
      <w:r w:rsidR="001A546C">
        <w:rPr>
          <w:rFonts w:ascii="Calibri" w:eastAsia="Calibri" w:hAnsi="Calibri"/>
          <w:sz w:val="22"/>
          <w:szCs w:val="22"/>
        </w:rPr>
        <w:t xml:space="preserve">.  This </w:t>
      </w:r>
      <w:r w:rsidR="004836F4">
        <w:rPr>
          <w:rFonts w:ascii="Calibri" w:eastAsia="Calibri" w:hAnsi="Calibri"/>
          <w:sz w:val="22"/>
          <w:szCs w:val="22"/>
        </w:rPr>
        <w:t xml:space="preserve">one (1) year restriction </w:t>
      </w:r>
      <w:r w:rsidR="00954B25">
        <w:rPr>
          <w:rFonts w:ascii="Calibri" w:eastAsia="Calibri" w:hAnsi="Calibri"/>
          <w:sz w:val="22"/>
          <w:szCs w:val="22"/>
        </w:rPr>
        <w:t>applies</w:t>
      </w:r>
      <w:r w:rsidR="00D06BA5">
        <w:rPr>
          <w:rFonts w:ascii="Calibri" w:eastAsia="Calibri" w:hAnsi="Calibri"/>
          <w:sz w:val="22"/>
          <w:szCs w:val="22"/>
        </w:rPr>
        <w:t xml:space="preserve"> and is enforced</w:t>
      </w:r>
      <w:r w:rsidR="00954B25">
        <w:rPr>
          <w:rFonts w:ascii="Calibri" w:eastAsia="Calibri" w:hAnsi="Calibri"/>
          <w:sz w:val="22"/>
          <w:szCs w:val="22"/>
        </w:rPr>
        <w:t xml:space="preserve"> in all 50 states, including those that</w:t>
      </w:r>
      <w:r w:rsidR="001A546C">
        <w:rPr>
          <w:rFonts w:ascii="Calibri" w:eastAsia="Calibri" w:hAnsi="Calibri"/>
          <w:sz w:val="22"/>
          <w:szCs w:val="22"/>
        </w:rPr>
        <w:t xml:space="preserve"> have </w:t>
      </w:r>
      <w:r w:rsidR="00C22075">
        <w:rPr>
          <w:rFonts w:ascii="Calibri" w:eastAsia="Calibri" w:hAnsi="Calibri"/>
          <w:sz w:val="22"/>
          <w:szCs w:val="22"/>
        </w:rPr>
        <w:t xml:space="preserve">a </w:t>
      </w:r>
      <w:r w:rsidR="001A546C">
        <w:rPr>
          <w:rFonts w:ascii="Calibri" w:eastAsia="Calibri" w:hAnsi="Calibri"/>
          <w:sz w:val="22"/>
          <w:szCs w:val="22"/>
        </w:rPr>
        <w:t xml:space="preserve">Rule of Professional Conduct that </w:t>
      </w:r>
      <w:r w:rsidR="00C22075">
        <w:rPr>
          <w:rFonts w:ascii="Calibri" w:eastAsia="Calibri" w:hAnsi="Calibri"/>
          <w:sz w:val="22"/>
          <w:szCs w:val="22"/>
        </w:rPr>
        <w:t xml:space="preserve">is </w:t>
      </w:r>
      <w:r w:rsidR="001A546C">
        <w:rPr>
          <w:rFonts w:ascii="Calibri" w:eastAsia="Calibri" w:hAnsi="Calibri"/>
          <w:sz w:val="22"/>
          <w:szCs w:val="22"/>
        </w:rPr>
        <w:t>identical to Rule 5.6.</w:t>
      </w:r>
      <w:r w:rsidR="00954B25">
        <w:rPr>
          <w:rStyle w:val="FootnoteReference"/>
          <w:rFonts w:ascii="Calibri" w:eastAsia="Calibri" w:hAnsi="Calibri"/>
          <w:sz w:val="22"/>
          <w:szCs w:val="22"/>
        </w:rPr>
        <w:footnoteReference w:id="4"/>
      </w:r>
    </w:p>
    <w:p w:rsidR="001A546C" w:rsidRDefault="001A546C" w:rsidP="009E1327">
      <w:pPr>
        <w:widowControl/>
        <w:autoSpaceDE/>
        <w:autoSpaceDN/>
        <w:adjustRightInd/>
        <w:spacing w:after="-1"/>
        <w:jc w:val="both"/>
        <w:rPr>
          <w:rFonts w:ascii="Calibri" w:eastAsia="Calibri" w:hAnsi="Calibri"/>
          <w:sz w:val="22"/>
          <w:szCs w:val="22"/>
        </w:rPr>
      </w:pPr>
    </w:p>
    <w:p w:rsidR="009E1327" w:rsidRDefault="001A546C" w:rsidP="00D56317">
      <w:pPr>
        <w:widowControl/>
        <w:autoSpaceDE/>
        <w:autoSpaceDN/>
        <w:adjustRightInd/>
        <w:spacing w:after="-1"/>
        <w:jc w:val="both"/>
        <w:rPr>
          <w:rFonts w:ascii="Calibri" w:eastAsia="Calibri" w:hAnsi="Calibri"/>
          <w:sz w:val="22"/>
          <w:szCs w:val="22"/>
        </w:rPr>
      </w:pPr>
      <w:r>
        <w:rPr>
          <w:rFonts w:ascii="Calibri" w:eastAsia="Calibri" w:hAnsi="Calibri"/>
          <w:sz w:val="22"/>
          <w:szCs w:val="22"/>
        </w:rPr>
        <w:t xml:space="preserve">Last, the Board directs your attention to an </w:t>
      </w:r>
      <w:r w:rsidR="009D57B2">
        <w:rPr>
          <w:rFonts w:ascii="Calibri" w:eastAsia="Calibri" w:hAnsi="Calibri"/>
          <w:sz w:val="22"/>
          <w:szCs w:val="22"/>
        </w:rPr>
        <w:t xml:space="preserve">advisory opinion </w:t>
      </w:r>
      <w:r w:rsidR="00A278A8">
        <w:rPr>
          <w:rFonts w:ascii="Calibri" w:eastAsia="Calibri" w:hAnsi="Calibri"/>
          <w:sz w:val="22"/>
          <w:szCs w:val="22"/>
        </w:rPr>
        <w:t xml:space="preserve">(Advisory Opinion No. 93-11) </w:t>
      </w:r>
      <w:r w:rsidR="009D57B2">
        <w:rPr>
          <w:rFonts w:ascii="Calibri" w:eastAsia="Calibri" w:hAnsi="Calibri"/>
          <w:sz w:val="22"/>
          <w:szCs w:val="22"/>
        </w:rPr>
        <w:t xml:space="preserve">issued by </w:t>
      </w:r>
      <w:r w:rsidR="00954B25">
        <w:rPr>
          <w:rFonts w:ascii="Calibri" w:eastAsia="Calibri" w:hAnsi="Calibri"/>
          <w:sz w:val="22"/>
          <w:szCs w:val="22"/>
        </w:rPr>
        <w:t>the New York City Conflicts of Interest Board</w:t>
      </w:r>
      <w:r w:rsidR="004836F4">
        <w:rPr>
          <w:rFonts w:ascii="Calibri" w:eastAsia="Calibri" w:hAnsi="Calibri"/>
          <w:sz w:val="22"/>
          <w:szCs w:val="22"/>
        </w:rPr>
        <w:t xml:space="preserve"> [“COIB”]</w:t>
      </w:r>
      <w:r w:rsidR="00954B25">
        <w:rPr>
          <w:rFonts w:ascii="Calibri" w:eastAsia="Calibri" w:hAnsi="Calibri"/>
          <w:sz w:val="22"/>
          <w:szCs w:val="22"/>
        </w:rPr>
        <w:t>, attached hereto</w:t>
      </w:r>
      <w:r w:rsidR="00CA7EFF">
        <w:rPr>
          <w:rFonts w:ascii="Calibri" w:eastAsia="Calibri" w:hAnsi="Calibri"/>
          <w:sz w:val="22"/>
          <w:szCs w:val="22"/>
        </w:rPr>
        <w:t>, which is</w:t>
      </w:r>
      <w:r w:rsidR="005503CB">
        <w:rPr>
          <w:rFonts w:ascii="Calibri" w:eastAsia="Calibri" w:hAnsi="Calibri"/>
          <w:sz w:val="22"/>
          <w:szCs w:val="22"/>
        </w:rPr>
        <w:t xml:space="preserve"> directly on point</w:t>
      </w:r>
      <w:r w:rsidR="00CA7EFF">
        <w:rPr>
          <w:rFonts w:ascii="Calibri" w:eastAsia="Calibri" w:hAnsi="Calibri"/>
          <w:sz w:val="22"/>
          <w:szCs w:val="22"/>
        </w:rPr>
        <w:t>.</w:t>
      </w:r>
      <w:r w:rsidR="00954B25">
        <w:rPr>
          <w:rFonts w:ascii="Calibri" w:eastAsia="Calibri" w:hAnsi="Calibri"/>
          <w:sz w:val="22"/>
          <w:szCs w:val="22"/>
        </w:rPr>
        <w:t xml:space="preserve"> </w:t>
      </w:r>
      <w:r w:rsidR="00A278A8">
        <w:rPr>
          <w:rFonts w:ascii="Calibri" w:eastAsia="Calibri" w:hAnsi="Calibri"/>
          <w:sz w:val="22"/>
          <w:szCs w:val="22"/>
        </w:rPr>
        <w:t xml:space="preserve">The </w:t>
      </w:r>
      <w:r w:rsidR="00C22075">
        <w:rPr>
          <w:rFonts w:ascii="Calibri" w:eastAsia="Calibri" w:hAnsi="Calibri"/>
          <w:sz w:val="22"/>
          <w:szCs w:val="22"/>
        </w:rPr>
        <w:t>S</w:t>
      </w:r>
      <w:r w:rsidR="00954B25">
        <w:rPr>
          <w:rFonts w:ascii="Calibri" w:eastAsia="Calibri" w:hAnsi="Calibri"/>
          <w:sz w:val="22"/>
          <w:szCs w:val="22"/>
        </w:rPr>
        <w:t>tate of New York</w:t>
      </w:r>
      <w:r w:rsidR="00A278A8">
        <w:rPr>
          <w:rFonts w:ascii="Calibri" w:eastAsia="Calibri" w:hAnsi="Calibri"/>
          <w:sz w:val="22"/>
          <w:szCs w:val="22"/>
        </w:rPr>
        <w:t xml:space="preserve"> has a Rule of Professional Conduct, also numbered 5.6, that is identical to </w:t>
      </w:r>
      <w:r w:rsidR="005503CB">
        <w:rPr>
          <w:rFonts w:ascii="Calibri" w:eastAsia="Calibri" w:hAnsi="Calibri"/>
          <w:sz w:val="22"/>
          <w:szCs w:val="22"/>
        </w:rPr>
        <w:t>Illinois’s</w:t>
      </w:r>
      <w:r w:rsidR="00A278A8">
        <w:rPr>
          <w:rFonts w:ascii="Calibri" w:eastAsia="Calibri" w:hAnsi="Calibri"/>
          <w:sz w:val="22"/>
          <w:szCs w:val="22"/>
        </w:rPr>
        <w:t xml:space="preserve"> Rule </w:t>
      </w:r>
      <w:r w:rsidR="005503CB">
        <w:rPr>
          <w:rFonts w:ascii="Calibri" w:eastAsia="Calibri" w:hAnsi="Calibri"/>
          <w:sz w:val="22"/>
          <w:szCs w:val="22"/>
        </w:rPr>
        <w:t>5.6</w:t>
      </w:r>
      <w:r w:rsidR="00A278A8">
        <w:rPr>
          <w:rFonts w:ascii="Calibri" w:eastAsia="Calibri" w:hAnsi="Calibri"/>
          <w:sz w:val="22"/>
          <w:szCs w:val="22"/>
        </w:rPr>
        <w:t>.</w:t>
      </w:r>
      <w:r w:rsidR="004836F4">
        <w:rPr>
          <w:rFonts w:ascii="Calibri" w:eastAsia="Calibri" w:hAnsi="Calibri"/>
          <w:sz w:val="22"/>
          <w:szCs w:val="22"/>
        </w:rPr>
        <w:t xml:space="preserve">  </w:t>
      </w:r>
      <w:r w:rsidR="00EA1B1C">
        <w:rPr>
          <w:rFonts w:ascii="Calibri" w:eastAsia="Calibri" w:hAnsi="Calibri"/>
          <w:sz w:val="22"/>
          <w:szCs w:val="22"/>
        </w:rPr>
        <w:t>New York City has a post-employment restriction that provides: “</w:t>
      </w:r>
      <w:r w:rsidR="00EA1B1C" w:rsidRPr="008C652D">
        <w:rPr>
          <w:rFonts w:ascii="Calibri" w:hAnsi="Calibri" w:cs="Calibri"/>
          <w:sz w:val="22"/>
          <w:szCs w:val="22"/>
        </w:rPr>
        <w:t>No former public servant shall, within a period of one year after termination of such person's service with the city, appear before the city agency served by such public servant.”</w:t>
      </w:r>
      <w:r w:rsidR="00250B3C" w:rsidRPr="008C652D">
        <w:rPr>
          <w:rFonts w:ascii="Calibri" w:hAnsi="Calibri" w:cs="Calibri"/>
          <w:sz w:val="22"/>
          <w:szCs w:val="22"/>
        </w:rPr>
        <w:t xml:space="preserve"> New York City Charter Chapter 68, §2604(d</w:t>
      </w:r>
      <w:proofErr w:type="gramStart"/>
      <w:r w:rsidR="00250B3C" w:rsidRPr="008C652D">
        <w:rPr>
          <w:rFonts w:ascii="Calibri" w:hAnsi="Calibri" w:cs="Calibri"/>
          <w:sz w:val="22"/>
          <w:szCs w:val="22"/>
        </w:rPr>
        <w:t>)(</w:t>
      </w:r>
      <w:proofErr w:type="gramEnd"/>
      <w:r w:rsidR="00250B3C" w:rsidRPr="008C652D">
        <w:rPr>
          <w:rFonts w:ascii="Calibri" w:hAnsi="Calibri" w:cs="Calibri"/>
          <w:sz w:val="22"/>
          <w:szCs w:val="22"/>
        </w:rPr>
        <w:t>2).</w:t>
      </w:r>
      <w:r w:rsidR="00EA1B1C" w:rsidRPr="008C652D">
        <w:rPr>
          <w:rFonts w:ascii="Calibri" w:hAnsi="Calibri" w:cs="Calibri"/>
          <w:sz w:val="22"/>
          <w:szCs w:val="22"/>
        </w:rPr>
        <w:t xml:space="preserve"> </w:t>
      </w:r>
      <w:r w:rsidR="004836F4">
        <w:rPr>
          <w:rFonts w:ascii="Calibri" w:eastAsia="Calibri" w:hAnsi="Calibri"/>
          <w:sz w:val="22"/>
          <w:szCs w:val="22"/>
        </w:rPr>
        <w:t>The opinion consider</w:t>
      </w:r>
      <w:r w:rsidR="005503CB">
        <w:rPr>
          <w:rFonts w:ascii="Calibri" w:eastAsia="Calibri" w:hAnsi="Calibri"/>
          <w:sz w:val="22"/>
          <w:szCs w:val="22"/>
        </w:rPr>
        <w:t>ed</w:t>
      </w:r>
      <w:r w:rsidR="004836F4">
        <w:rPr>
          <w:rFonts w:ascii="Calibri" w:eastAsia="Calibri" w:hAnsi="Calibri"/>
          <w:sz w:val="22"/>
          <w:szCs w:val="22"/>
        </w:rPr>
        <w:t xml:space="preserve"> whether </w:t>
      </w:r>
      <w:r w:rsidR="005503CB">
        <w:rPr>
          <w:rFonts w:ascii="Calibri" w:eastAsia="Calibri" w:hAnsi="Calibri"/>
          <w:sz w:val="22"/>
          <w:szCs w:val="22"/>
        </w:rPr>
        <w:t xml:space="preserve">the </w:t>
      </w:r>
      <w:r w:rsidR="004836F4">
        <w:rPr>
          <w:rFonts w:ascii="Calibri" w:eastAsia="Calibri" w:hAnsi="Calibri"/>
          <w:sz w:val="22"/>
          <w:szCs w:val="22"/>
        </w:rPr>
        <w:t xml:space="preserve">Chief Counsel for </w:t>
      </w:r>
      <w:r w:rsidR="005503CB">
        <w:rPr>
          <w:rFonts w:ascii="Calibri" w:eastAsia="Calibri" w:hAnsi="Calibri"/>
          <w:sz w:val="22"/>
          <w:szCs w:val="22"/>
        </w:rPr>
        <w:t>a particular unit of a c</w:t>
      </w:r>
      <w:r w:rsidR="004836F4">
        <w:rPr>
          <w:rFonts w:ascii="Calibri" w:eastAsia="Calibri" w:hAnsi="Calibri"/>
          <w:sz w:val="22"/>
          <w:szCs w:val="22"/>
        </w:rPr>
        <w:t xml:space="preserve">ity agency could appear before a different unit of the same agency less than one (1) year after </w:t>
      </w:r>
      <w:r w:rsidR="005503CB">
        <w:rPr>
          <w:rFonts w:ascii="Calibri" w:eastAsia="Calibri" w:hAnsi="Calibri"/>
          <w:sz w:val="22"/>
          <w:szCs w:val="22"/>
        </w:rPr>
        <w:t xml:space="preserve">he </w:t>
      </w:r>
      <w:r w:rsidR="004836F4">
        <w:rPr>
          <w:rFonts w:ascii="Calibri" w:eastAsia="Calibri" w:hAnsi="Calibri"/>
          <w:sz w:val="22"/>
          <w:szCs w:val="22"/>
        </w:rPr>
        <w:t>le</w:t>
      </w:r>
      <w:r w:rsidR="005503CB">
        <w:rPr>
          <w:rFonts w:ascii="Calibri" w:eastAsia="Calibri" w:hAnsi="Calibri"/>
          <w:sz w:val="22"/>
          <w:szCs w:val="22"/>
        </w:rPr>
        <w:t>ft his</w:t>
      </w:r>
      <w:r w:rsidR="004836F4">
        <w:rPr>
          <w:rFonts w:ascii="Calibri" w:eastAsia="Calibri" w:hAnsi="Calibri"/>
          <w:sz w:val="22"/>
          <w:szCs w:val="22"/>
        </w:rPr>
        <w:t xml:space="preserve"> City service. The </w:t>
      </w:r>
      <w:r w:rsidR="00CA7EFF">
        <w:rPr>
          <w:rFonts w:ascii="Calibri" w:eastAsia="Calibri" w:hAnsi="Calibri"/>
          <w:sz w:val="22"/>
          <w:szCs w:val="22"/>
        </w:rPr>
        <w:t xml:space="preserve">COIB </w:t>
      </w:r>
      <w:r w:rsidR="004836F4">
        <w:rPr>
          <w:rFonts w:ascii="Calibri" w:eastAsia="Calibri" w:hAnsi="Calibri"/>
          <w:sz w:val="22"/>
          <w:szCs w:val="22"/>
        </w:rPr>
        <w:t>noted that the former government employee was an expert in the laws administered by his former agency, and as such, expected to continue handling matters involving such laws.</w:t>
      </w:r>
      <w:r w:rsidR="00EA1B1C">
        <w:rPr>
          <w:rFonts w:ascii="Calibri" w:eastAsia="Calibri" w:hAnsi="Calibri"/>
          <w:sz w:val="22"/>
          <w:szCs w:val="22"/>
        </w:rPr>
        <w:t xml:space="preserve">  </w:t>
      </w:r>
      <w:r w:rsidR="005503CB">
        <w:rPr>
          <w:rFonts w:ascii="Calibri" w:eastAsia="Calibri" w:hAnsi="Calibri"/>
          <w:sz w:val="22"/>
          <w:szCs w:val="22"/>
        </w:rPr>
        <w:t>Nonetheless, t</w:t>
      </w:r>
      <w:r w:rsidR="00EA1B1C">
        <w:rPr>
          <w:rFonts w:ascii="Calibri" w:eastAsia="Calibri" w:hAnsi="Calibri"/>
          <w:sz w:val="22"/>
          <w:szCs w:val="22"/>
        </w:rPr>
        <w:t xml:space="preserve">he </w:t>
      </w:r>
      <w:r w:rsidR="00CA7EFF">
        <w:rPr>
          <w:rFonts w:ascii="Calibri" w:eastAsia="Calibri" w:hAnsi="Calibri"/>
          <w:sz w:val="22"/>
          <w:szCs w:val="22"/>
        </w:rPr>
        <w:t xml:space="preserve">COIB </w:t>
      </w:r>
      <w:r w:rsidR="00EA1B1C">
        <w:rPr>
          <w:rFonts w:ascii="Calibri" w:eastAsia="Calibri" w:hAnsi="Calibri"/>
          <w:sz w:val="22"/>
          <w:szCs w:val="22"/>
        </w:rPr>
        <w:t>opined that</w:t>
      </w:r>
      <w:r w:rsidR="005503CB">
        <w:rPr>
          <w:rFonts w:ascii="Calibri" w:eastAsia="Calibri" w:hAnsi="Calibri"/>
          <w:sz w:val="22"/>
          <w:szCs w:val="22"/>
        </w:rPr>
        <w:t>,</w:t>
      </w:r>
      <w:r w:rsidR="00EA1B1C">
        <w:rPr>
          <w:rFonts w:ascii="Calibri" w:eastAsia="Calibri" w:hAnsi="Calibri"/>
          <w:sz w:val="22"/>
          <w:szCs w:val="22"/>
        </w:rPr>
        <w:t xml:space="preserve"> as both units are “part of</w:t>
      </w:r>
      <w:r w:rsidR="004836F4">
        <w:rPr>
          <w:rFonts w:ascii="Calibri" w:eastAsia="Calibri" w:hAnsi="Calibri"/>
          <w:sz w:val="22"/>
          <w:szCs w:val="22"/>
        </w:rPr>
        <w:t xml:space="preserve"> </w:t>
      </w:r>
      <w:r w:rsidR="00EA1B1C">
        <w:rPr>
          <w:rFonts w:ascii="Calibri" w:eastAsia="Calibri" w:hAnsi="Calibri"/>
          <w:sz w:val="22"/>
          <w:szCs w:val="22"/>
        </w:rPr>
        <w:t xml:space="preserve">an integrated enforcement process, intended to help the City eliminate certain unlawful conduct and prevent it from occurring in the future,” the lawyer would be prohibited for one (1) year from appearing before the agency </w:t>
      </w:r>
      <w:r w:rsidR="00CA7EFF">
        <w:rPr>
          <w:rFonts w:ascii="Calibri" w:eastAsia="Calibri" w:hAnsi="Calibri"/>
          <w:sz w:val="22"/>
          <w:szCs w:val="22"/>
        </w:rPr>
        <w:t>as a whole.</w:t>
      </w:r>
    </w:p>
    <w:p w:rsidR="00CA7EFF" w:rsidRDefault="00CA7EFF" w:rsidP="00D56317">
      <w:pPr>
        <w:widowControl/>
        <w:autoSpaceDE/>
        <w:autoSpaceDN/>
        <w:adjustRightInd/>
        <w:spacing w:after="-1"/>
        <w:jc w:val="both"/>
        <w:rPr>
          <w:rFonts w:ascii="Calibri" w:eastAsia="Calibri" w:hAnsi="Calibri"/>
          <w:sz w:val="22"/>
          <w:szCs w:val="22"/>
        </w:rPr>
      </w:pPr>
    </w:p>
    <w:p w:rsidR="00CA7EFF" w:rsidRDefault="00CA7EFF" w:rsidP="00D56317">
      <w:pPr>
        <w:widowControl/>
        <w:autoSpaceDE/>
        <w:autoSpaceDN/>
        <w:adjustRightInd/>
        <w:spacing w:after="-1"/>
        <w:jc w:val="both"/>
        <w:rPr>
          <w:rFonts w:ascii="Calibri" w:eastAsia="Calibri" w:hAnsi="Calibri"/>
          <w:sz w:val="22"/>
          <w:szCs w:val="22"/>
        </w:rPr>
      </w:pPr>
      <w:r>
        <w:rPr>
          <w:rFonts w:ascii="Calibri" w:eastAsia="Calibri" w:hAnsi="Calibri"/>
          <w:sz w:val="22"/>
          <w:szCs w:val="22"/>
        </w:rPr>
        <w:t xml:space="preserve">Similarly, this Board, in the advisory opinion issued to you on </w:t>
      </w:r>
      <w:r w:rsidR="00373BE6">
        <w:rPr>
          <w:rFonts w:ascii="Calibri" w:eastAsia="Calibri" w:hAnsi="Calibri"/>
          <w:sz w:val="22"/>
          <w:szCs w:val="22"/>
        </w:rPr>
        <w:t xml:space="preserve">                </w:t>
      </w:r>
      <w:r>
        <w:rPr>
          <w:rFonts w:ascii="Calibri" w:eastAsia="Calibri" w:hAnsi="Calibri"/>
          <w:sz w:val="22"/>
          <w:szCs w:val="22"/>
        </w:rPr>
        <w:t xml:space="preserve">, determined that </w:t>
      </w:r>
      <w:r>
        <w:rPr>
          <w:rFonts w:ascii="Calibri" w:eastAsia="Calibri" w:hAnsi="Calibri" w:cs="Calibri"/>
          <w:sz w:val="22"/>
          <w:szCs w:val="22"/>
        </w:rPr>
        <w:t>§</w:t>
      </w:r>
      <w:r>
        <w:rPr>
          <w:rFonts w:ascii="Calibri" w:eastAsia="Calibri" w:hAnsi="Calibri"/>
          <w:sz w:val="22"/>
          <w:szCs w:val="22"/>
        </w:rPr>
        <w:t xml:space="preserve">2-156-100(b) of the Ordinance prohibits you </w:t>
      </w:r>
      <w:r w:rsidR="00F01550">
        <w:rPr>
          <w:rFonts w:ascii="Calibri" w:eastAsia="Calibri" w:hAnsi="Calibri"/>
          <w:sz w:val="22"/>
          <w:szCs w:val="22"/>
        </w:rPr>
        <w:t xml:space="preserve">for one (1) year </w:t>
      </w:r>
      <w:r w:rsidR="005503CB">
        <w:rPr>
          <w:rFonts w:ascii="Calibri" w:eastAsia="Calibri" w:hAnsi="Calibri"/>
          <w:sz w:val="22"/>
          <w:szCs w:val="22"/>
        </w:rPr>
        <w:t xml:space="preserve">after your effective termination date </w:t>
      </w:r>
      <w:r>
        <w:rPr>
          <w:rFonts w:ascii="Calibri" w:eastAsia="Calibri" w:hAnsi="Calibri"/>
          <w:sz w:val="22"/>
          <w:szCs w:val="22"/>
        </w:rPr>
        <w:t xml:space="preserve">from assisting or representing any client </w:t>
      </w:r>
      <w:r w:rsidR="005503CB">
        <w:rPr>
          <w:rFonts w:ascii="Calibri" w:eastAsia="Calibri" w:hAnsi="Calibri"/>
          <w:sz w:val="22"/>
          <w:szCs w:val="22"/>
        </w:rPr>
        <w:t xml:space="preserve">or other person with respect to the subject matter of the administration of justice by the </w:t>
      </w:r>
      <w:r w:rsidR="00177439">
        <w:rPr>
          <w:rFonts w:ascii="Calibri" w:eastAsia="Calibri" w:hAnsi="Calibri"/>
          <w:sz w:val="22"/>
          <w:szCs w:val="22"/>
        </w:rPr>
        <w:t xml:space="preserve">  </w:t>
      </w:r>
      <w:r w:rsidR="005503CB">
        <w:rPr>
          <w:rFonts w:ascii="Calibri" w:eastAsia="Calibri" w:hAnsi="Calibri"/>
          <w:sz w:val="22"/>
          <w:szCs w:val="22"/>
        </w:rPr>
        <w:t xml:space="preserve">H; in effect, as explained in the opinion, this means assisting or representing any person or client </w:t>
      </w:r>
      <w:r>
        <w:rPr>
          <w:rFonts w:ascii="Calibri" w:eastAsia="Calibri" w:hAnsi="Calibri"/>
          <w:sz w:val="22"/>
          <w:szCs w:val="22"/>
        </w:rPr>
        <w:t xml:space="preserve">in an administrative hearing before the </w:t>
      </w:r>
      <w:r w:rsidR="00955F3D">
        <w:rPr>
          <w:rFonts w:ascii="Calibri" w:eastAsia="Calibri" w:hAnsi="Calibri"/>
          <w:sz w:val="22"/>
          <w:szCs w:val="22"/>
        </w:rPr>
        <w:t xml:space="preserve">  </w:t>
      </w:r>
      <w:r>
        <w:rPr>
          <w:rFonts w:ascii="Calibri" w:eastAsia="Calibri" w:hAnsi="Calibri"/>
          <w:sz w:val="22"/>
          <w:szCs w:val="22"/>
        </w:rPr>
        <w:t>H</w:t>
      </w:r>
      <w:r w:rsidR="005503CB">
        <w:rPr>
          <w:rFonts w:ascii="Calibri" w:eastAsia="Calibri" w:hAnsi="Calibri"/>
          <w:sz w:val="22"/>
          <w:szCs w:val="22"/>
        </w:rPr>
        <w:t xml:space="preserve"> for one year</w:t>
      </w:r>
      <w:r>
        <w:rPr>
          <w:rFonts w:ascii="Calibri" w:eastAsia="Calibri" w:hAnsi="Calibri"/>
          <w:sz w:val="22"/>
          <w:szCs w:val="22"/>
        </w:rPr>
        <w:t>.</w:t>
      </w:r>
      <w:r w:rsidR="005503CB">
        <w:rPr>
          <w:rFonts w:ascii="Calibri" w:eastAsia="Calibri" w:hAnsi="Calibri"/>
          <w:sz w:val="22"/>
          <w:szCs w:val="22"/>
        </w:rPr>
        <w:t xml:space="preserve">  Neither the opinion, the Board of Ethics, or the Ethics</w:t>
      </w:r>
      <w:r w:rsidR="009A1D0A">
        <w:rPr>
          <w:rFonts w:ascii="Calibri" w:eastAsia="Calibri" w:hAnsi="Calibri"/>
          <w:sz w:val="22"/>
          <w:szCs w:val="22"/>
        </w:rPr>
        <w:t xml:space="preserve"> Ordinance </w:t>
      </w:r>
      <w:r w:rsidR="005503CB">
        <w:rPr>
          <w:rFonts w:ascii="Calibri" w:eastAsia="Calibri" w:hAnsi="Calibri"/>
          <w:sz w:val="22"/>
          <w:szCs w:val="22"/>
        </w:rPr>
        <w:t>impinge upon you</w:t>
      </w:r>
      <w:r w:rsidR="004920E8">
        <w:rPr>
          <w:rFonts w:ascii="Calibri" w:eastAsia="Calibri" w:hAnsi="Calibri"/>
          <w:sz w:val="22"/>
          <w:szCs w:val="22"/>
        </w:rPr>
        <w:t>r</w:t>
      </w:r>
      <w:r w:rsidR="005503CB">
        <w:rPr>
          <w:rFonts w:ascii="Calibri" w:eastAsia="Calibri" w:hAnsi="Calibri"/>
          <w:sz w:val="22"/>
          <w:szCs w:val="22"/>
        </w:rPr>
        <w:t xml:space="preserve"> ability to practice law for that one year period in any other way (except for the “permanent prohibition” described above, under </w:t>
      </w:r>
      <w:r w:rsidR="005503CB">
        <w:rPr>
          <w:rFonts w:ascii="Arial" w:eastAsia="Calibri" w:hAnsi="Arial" w:cs="Arial"/>
          <w:sz w:val="22"/>
          <w:szCs w:val="22"/>
        </w:rPr>
        <w:t>§</w:t>
      </w:r>
      <w:r w:rsidR="005503CB">
        <w:rPr>
          <w:rFonts w:ascii="Calibri" w:eastAsia="Calibri" w:hAnsi="Calibri"/>
          <w:sz w:val="22"/>
          <w:szCs w:val="22"/>
        </w:rPr>
        <w:t xml:space="preserve">2-156-100(a), in which you may not represent or assist any person other than the City in any administrative proceeding involving the City in which you served as counsel or record or </w:t>
      </w:r>
      <w:r w:rsidR="004920E8">
        <w:rPr>
          <w:rFonts w:ascii="Calibri" w:eastAsia="Calibri" w:hAnsi="Calibri"/>
          <w:sz w:val="22"/>
          <w:szCs w:val="22"/>
        </w:rPr>
        <w:t>participated personally and substantially).</w:t>
      </w:r>
    </w:p>
    <w:p w:rsidR="00D56317" w:rsidRPr="00D56317" w:rsidRDefault="00D56317" w:rsidP="00D56317">
      <w:pPr>
        <w:widowControl/>
        <w:autoSpaceDE/>
        <w:autoSpaceDN/>
        <w:adjustRightInd/>
        <w:spacing w:after="-1"/>
        <w:jc w:val="both"/>
        <w:rPr>
          <w:rFonts w:ascii="Calibri" w:eastAsia="Calibri" w:hAnsi="Calibri"/>
          <w:sz w:val="22"/>
          <w:szCs w:val="22"/>
        </w:rPr>
      </w:pPr>
    </w:p>
    <w:p w:rsidR="00D56317" w:rsidRPr="00D56317" w:rsidRDefault="004920E8" w:rsidP="00D56317">
      <w:pPr>
        <w:widowControl/>
        <w:autoSpaceDE/>
        <w:autoSpaceDN/>
        <w:adjustRightInd/>
        <w:spacing w:after="-1"/>
        <w:jc w:val="both"/>
        <w:rPr>
          <w:rFonts w:ascii="Calibri" w:eastAsia="Calibri" w:hAnsi="Calibri"/>
          <w:sz w:val="22"/>
          <w:szCs w:val="22"/>
        </w:rPr>
      </w:pPr>
      <w:r>
        <w:rPr>
          <w:rFonts w:ascii="Calibri" w:eastAsia="Calibri" w:hAnsi="Calibri"/>
          <w:sz w:val="22"/>
          <w:szCs w:val="22"/>
        </w:rPr>
        <w:t>Hence, u</w:t>
      </w:r>
      <w:r w:rsidR="008D6EC8">
        <w:rPr>
          <w:rFonts w:ascii="Calibri" w:eastAsia="Calibri" w:hAnsi="Calibri"/>
          <w:sz w:val="22"/>
          <w:szCs w:val="22"/>
        </w:rPr>
        <w:t xml:space="preserve">pon </w:t>
      </w:r>
      <w:r w:rsidR="00CA7EFF">
        <w:rPr>
          <w:rFonts w:ascii="Calibri" w:eastAsia="Calibri" w:hAnsi="Calibri"/>
          <w:sz w:val="22"/>
          <w:szCs w:val="22"/>
        </w:rPr>
        <w:t xml:space="preserve">careful </w:t>
      </w:r>
      <w:r w:rsidR="008D6EC8">
        <w:rPr>
          <w:rFonts w:ascii="Calibri" w:eastAsia="Calibri" w:hAnsi="Calibri"/>
          <w:sz w:val="22"/>
          <w:szCs w:val="22"/>
        </w:rPr>
        <w:t xml:space="preserve">consideration of </w:t>
      </w:r>
      <w:r w:rsidR="00D56317" w:rsidRPr="00D56317">
        <w:rPr>
          <w:rFonts w:ascii="Calibri" w:eastAsia="Calibri" w:hAnsi="Calibri"/>
          <w:sz w:val="22"/>
          <w:szCs w:val="22"/>
        </w:rPr>
        <w:t xml:space="preserve">the </w:t>
      </w:r>
      <w:r>
        <w:rPr>
          <w:rFonts w:ascii="Calibri" w:eastAsia="Calibri" w:hAnsi="Calibri"/>
          <w:sz w:val="22"/>
          <w:szCs w:val="22"/>
        </w:rPr>
        <w:t>“</w:t>
      </w:r>
      <w:r w:rsidR="00593408">
        <w:rPr>
          <w:rFonts w:ascii="Calibri" w:eastAsia="Calibri" w:hAnsi="Calibri"/>
          <w:sz w:val="22"/>
          <w:szCs w:val="22"/>
        </w:rPr>
        <w:t>circumstances</w:t>
      </w:r>
      <w:r>
        <w:rPr>
          <w:rFonts w:ascii="Calibri" w:eastAsia="Calibri" w:hAnsi="Calibri"/>
          <w:sz w:val="22"/>
          <w:szCs w:val="22"/>
        </w:rPr>
        <w:t>”</w:t>
      </w:r>
      <w:r w:rsidR="00593408">
        <w:rPr>
          <w:rFonts w:ascii="Calibri" w:eastAsia="Calibri" w:hAnsi="Calibri"/>
          <w:sz w:val="22"/>
          <w:szCs w:val="22"/>
        </w:rPr>
        <w:t xml:space="preserve"> presented </w:t>
      </w:r>
      <w:r w:rsidR="009E1327">
        <w:rPr>
          <w:rFonts w:ascii="Calibri" w:eastAsia="Calibri" w:hAnsi="Calibri"/>
          <w:sz w:val="22"/>
          <w:szCs w:val="22"/>
        </w:rPr>
        <w:t xml:space="preserve">in your </w:t>
      </w:r>
      <w:r w:rsidR="00D56317" w:rsidRPr="00D56317">
        <w:rPr>
          <w:rFonts w:ascii="Calibri" w:eastAsia="Calibri" w:hAnsi="Calibri"/>
          <w:sz w:val="22"/>
          <w:szCs w:val="22"/>
        </w:rPr>
        <w:t>request</w:t>
      </w:r>
      <w:r w:rsidR="00FD52B2">
        <w:rPr>
          <w:rFonts w:ascii="Calibri" w:eastAsia="Calibri" w:hAnsi="Calibri"/>
          <w:sz w:val="22"/>
          <w:szCs w:val="22"/>
        </w:rPr>
        <w:t xml:space="preserve"> for reconsideration</w:t>
      </w:r>
      <w:r w:rsidR="00D56317" w:rsidRPr="00D56317">
        <w:rPr>
          <w:rFonts w:ascii="Calibri" w:eastAsia="Calibri" w:hAnsi="Calibri"/>
          <w:sz w:val="22"/>
          <w:szCs w:val="22"/>
        </w:rPr>
        <w:t xml:space="preserve">, </w:t>
      </w:r>
      <w:r w:rsidR="00593408">
        <w:rPr>
          <w:rFonts w:ascii="Calibri" w:eastAsia="Calibri" w:hAnsi="Calibri"/>
          <w:sz w:val="22"/>
          <w:szCs w:val="22"/>
        </w:rPr>
        <w:t>none of which were material in the Board’s opinion, t</w:t>
      </w:r>
      <w:r w:rsidR="009E1327">
        <w:rPr>
          <w:rFonts w:ascii="Calibri" w:eastAsia="Calibri" w:hAnsi="Calibri"/>
          <w:sz w:val="22"/>
          <w:szCs w:val="22"/>
        </w:rPr>
        <w:t xml:space="preserve">he Board voted </w:t>
      </w:r>
      <w:r w:rsidR="00457083">
        <w:rPr>
          <w:rFonts w:ascii="Calibri" w:eastAsia="Calibri" w:hAnsi="Calibri"/>
          <w:sz w:val="22"/>
          <w:szCs w:val="22"/>
        </w:rPr>
        <w:t>today</w:t>
      </w:r>
      <w:r w:rsidR="00250B3C">
        <w:rPr>
          <w:rFonts w:ascii="Calibri" w:eastAsia="Calibri" w:hAnsi="Calibri"/>
          <w:sz w:val="22"/>
          <w:szCs w:val="22"/>
        </w:rPr>
        <w:t xml:space="preserve"> to deny </w:t>
      </w:r>
      <w:r w:rsidR="00FC185C">
        <w:rPr>
          <w:rFonts w:ascii="Calibri" w:eastAsia="Calibri" w:hAnsi="Calibri"/>
          <w:sz w:val="22"/>
          <w:szCs w:val="22"/>
        </w:rPr>
        <w:t>your request for reconsideration</w:t>
      </w:r>
      <w:r w:rsidR="00250B3C">
        <w:rPr>
          <w:rFonts w:ascii="Calibri" w:eastAsia="Calibri" w:hAnsi="Calibri"/>
          <w:sz w:val="22"/>
          <w:szCs w:val="22"/>
        </w:rPr>
        <w:t>.</w:t>
      </w:r>
      <w:r w:rsidR="00FC185C">
        <w:rPr>
          <w:rFonts w:ascii="Calibri" w:eastAsia="Calibri" w:hAnsi="Calibri"/>
          <w:sz w:val="22"/>
          <w:szCs w:val="22"/>
        </w:rPr>
        <w:t xml:space="preserve"> </w:t>
      </w:r>
    </w:p>
    <w:p w:rsidR="00D56317" w:rsidRPr="00D56317" w:rsidRDefault="00D56317" w:rsidP="006E2824">
      <w:pPr>
        <w:jc w:val="both"/>
        <w:rPr>
          <w:rFonts w:ascii="Calibri" w:hAnsi="Calibri" w:cs="Calibri"/>
          <w:sz w:val="22"/>
          <w:szCs w:val="22"/>
        </w:rPr>
      </w:pPr>
    </w:p>
    <w:p w:rsidR="005E292F" w:rsidRPr="00D56317" w:rsidRDefault="005E292F" w:rsidP="006E2824">
      <w:pPr>
        <w:jc w:val="both"/>
        <w:rPr>
          <w:rFonts w:ascii="Calibri" w:hAnsi="Calibri" w:cs="Calibri"/>
          <w:sz w:val="22"/>
          <w:szCs w:val="22"/>
        </w:rPr>
      </w:pPr>
      <w:r w:rsidRPr="00D56317">
        <w:rPr>
          <w:rFonts w:ascii="Calibri" w:hAnsi="Calibri" w:cs="Calibri"/>
          <w:sz w:val="22"/>
          <w:szCs w:val="22"/>
        </w:rPr>
        <w:t xml:space="preserve">Sincerely, </w:t>
      </w:r>
    </w:p>
    <w:p w:rsidR="005E292F" w:rsidRPr="00D56317" w:rsidRDefault="005E292F" w:rsidP="006E2824">
      <w:pPr>
        <w:jc w:val="both"/>
        <w:rPr>
          <w:rFonts w:ascii="Calibri" w:hAnsi="Calibri" w:cs="Calibri"/>
          <w:sz w:val="22"/>
          <w:szCs w:val="22"/>
        </w:rPr>
      </w:pPr>
    </w:p>
    <w:p w:rsidR="005E292F" w:rsidRPr="00D56317" w:rsidRDefault="00373BE6" w:rsidP="006E2824">
      <w:pPr>
        <w:jc w:val="both"/>
        <w:rPr>
          <w:rFonts w:ascii="Calibri" w:hAnsi="Calibri" w:cs="Calibri"/>
          <w:sz w:val="22"/>
          <w:szCs w:val="22"/>
        </w:rPr>
      </w:pPr>
      <w:r>
        <w:rPr>
          <w:rFonts w:ascii="Calibri" w:hAnsi="Calibri" w:cs="Calibri"/>
          <w:sz w:val="22"/>
          <w:szCs w:val="22"/>
        </w:rPr>
        <w:t>[</w:t>
      </w:r>
      <w:proofErr w:type="gramStart"/>
      <w:r>
        <w:rPr>
          <w:rFonts w:ascii="Calibri" w:hAnsi="Calibri" w:cs="Calibri"/>
          <w:sz w:val="22"/>
          <w:szCs w:val="22"/>
        </w:rPr>
        <w:t>signed</w:t>
      </w:r>
      <w:proofErr w:type="gramEnd"/>
      <w:r>
        <w:rPr>
          <w:rFonts w:ascii="Calibri" w:hAnsi="Calibri" w:cs="Calibri"/>
          <w:sz w:val="22"/>
          <w:szCs w:val="22"/>
        </w:rPr>
        <w:t>]</w:t>
      </w:r>
    </w:p>
    <w:p w:rsidR="005E292F" w:rsidRPr="00D56317" w:rsidRDefault="005E292F" w:rsidP="006E2824">
      <w:pPr>
        <w:jc w:val="both"/>
        <w:rPr>
          <w:rFonts w:ascii="Calibri" w:hAnsi="Calibri" w:cs="Calibri"/>
          <w:sz w:val="22"/>
          <w:szCs w:val="22"/>
        </w:rPr>
      </w:pPr>
      <w:r w:rsidRPr="00D56317">
        <w:rPr>
          <w:rFonts w:ascii="Calibri" w:hAnsi="Calibri" w:cs="Calibri"/>
          <w:sz w:val="22"/>
          <w:szCs w:val="22"/>
        </w:rPr>
        <w:t>_____________________________</w:t>
      </w:r>
    </w:p>
    <w:p w:rsidR="00F56E74" w:rsidRDefault="00373BE6" w:rsidP="00CA7EFF">
      <w:pPr>
        <w:rPr>
          <w:rFonts w:ascii="Calibri" w:hAnsi="Calibri" w:cs="Calibri"/>
          <w:sz w:val="22"/>
          <w:szCs w:val="22"/>
        </w:rPr>
      </w:pPr>
      <w:r>
        <w:rPr>
          <w:rFonts w:ascii="Calibri" w:hAnsi="Calibri" w:cs="Calibri"/>
          <w:sz w:val="22"/>
          <w:szCs w:val="22"/>
        </w:rPr>
        <w:t>Russell F. Carlson,</w:t>
      </w:r>
      <w:bookmarkStart w:id="1" w:name="_GoBack"/>
      <w:bookmarkEnd w:id="1"/>
    </w:p>
    <w:p w:rsidR="00CA7EFF" w:rsidRPr="00D56317" w:rsidRDefault="00373BE6" w:rsidP="00CA7EFF">
      <w:pPr>
        <w:rPr>
          <w:rFonts w:ascii="Calibri" w:hAnsi="Calibri" w:cs="Calibri"/>
          <w:bCs/>
          <w:sz w:val="22"/>
          <w:szCs w:val="22"/>
        </w:rPr>
      </w:pPr>
      <w:r>
        <w:rPr>
          <w:rFonts w:ascii="Calibri" w:hAnsi="Calibri" w:cs="Calibri"/>
          <w:sz w:val="22"/>
          <w:szCs w:val="22"/>
        </w:rPr>
        <w:t>Pro-Tem</w:t>
      </w:r>
      <w:r w:rsidR="00457083">
        <w:rPr>
          <w:rFonts w:ascii="Calibri" w:hAnsi="Calibri" w:cs="Calibri"/>
          <w:sz w:val="22"/>
          <w:szCs w:val="22"/>
        </w:rPr>
        <w:t xml:space="preserve"> Chair</w:t>
      </w:r>
    </w:p>
    <w:p w:rsidR="007F19DC" w:rsidRPr="00D56317" w:rsidRDefault="007F19DC">
      <w:pPr>
        <w:rPr>
          <w:rFonts w:ascii="Calibri" w:hAnsi="Calibri" w:cs="Calibri"/>
          <w:sz w:val="22"/>
          <w:szCs w:val="22"/>
        </w:rPr>
      </w:pPr>
    </w:p>
    <w:sectPr w:rsidR="007F19DC" w:rsidRPr="00D56317" w:rsidSect="00C63747">
      <w:headerReference w:type="default" r:id="rId9"/>
      <w:pgSz w:w="12240" w:h="15840"/>
      <w:pgMar w:top="1152" w:right="1008" w:bottom="864"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CA" w:rsidRDefault="007971CA">
      <w:r>
        <w:separator/>
      </w:r>
    </w:p>
  </w:endnote>
  <w:endnote w:type="continuationSeparator" w:id="0">
    <w:p w:rsidR="007971CA" w:rsidRDefault="0079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CA" w:rsidRDefault="007971CA">
      <w:r>
        <w:separator/>
      </w:r>
    </w:p>
  </w:footnote>
  <w:footnote w:type="continuationSeparator" w:id="0">
    <w:p w:rsidR="007971CA" w:rsidRDefault="007971CA">
      <w:r>
        <w:continuationSeparator/>
      </w:r>
    </w:p>
  </w:footnote>
  <w:footnote w:id="1">
    <w:p w:rsidR="00593408" w:rsidRPr="008C652D" w:rsidRDefault="00593408" w:rsidP="00593408">
      <w:pPr>
        <w:widowControl/>
        <w:autoSpaceDE/>
        <w:autoSpaceDN/>
        <w:adjustRightInd/>
        <w:jc w:val="both"/>
        <w:rPr>
          <w:rFonts w:ascii="Calibri" w:hAnsi="Calibri" w:cs="Calibri"/>
          <w:sz w:val="16"/>
          <w:szCs w:val="16"/>
        </w:rPr>
      </w:pPr>
      <w:r w:rsidRPr="008C652D">
        <w:rPr>
          <w:rStyle w:val="FootnoteReference"/>
          <w:rFonts w:ascii="Calibri" w:hAnsi="Calibri" w:cs="Calibri"/>
          <w:sz w:val="16"/>
          <w:szCs w:val="16"/>
        </w:rPr>
        <w:footnoteRef/>
      </w:r>
      <w:r w:rsidRPr="008C652D">
        <w:rPr>
          <w:rFonts w:ascii="Calibri" w:hAnsi="Calibri" w:cs="Calibri"/>
          <w:sz w:val="16"/>
          <w:szCs w:val="16"/>
        </w:rPr>
        <w:t xml:space="preserve"> You</w:t>
      </w:r>
      <w:r w:rsidR="00F01550" w:rsidRPr="008C652D">
        <w:rPr>
          <w:rFonts w:ascii="Calibri" w:hAnsi="Calibri" w:cs="Calibri"/>
          <w:sz w:val="16"/>
          <w:szCs w:val="16"/>
        </w:rPr>
        <w:t>r request for reconsideration</w:t>
      </w:r>
      <w:r w:rsidRPr="008C652D">
        <w:rPr>
          <w:rFonts w:ascii="Calibri" w:hAnsi="Calibri" w:cs="Calibri"/>
          <w:sz w:val="16"/>
          <w:szCs w:val="16"/>
        </w:rPr>
        <w:t xml:space="preserve"> also take</w:t>
      </w:r>
      <w:r w:rsidR="00F01550" w:rsidRPr="008C652D">
        <w:rPr>
          <w:rFonts w:ascii="Calibri" w:hAnsi="Calibri" w:cs="Calibri"/>
          <w:sz w:val="16"/>
          <w:szCs w:val="16"/>
        </w:rPr>
        <w:t>s</w:t>
      </w:r>
      <w:r w:rsidRPr="008C652D">
        <w:rPr>
          <w:rFonts w:ascii="Calibri" w:hAnsi="Calibri" w:cs="Calibri"/>
          <w:sz w:val="16"/>
          <w:szCs w:val="16"/>
        </w:rPr>
        <w:t xml:space="preserve"> issue with the “Board’s reading of ‘contract management authority’” as found in §2-156-100(b) of the Ordinance.  However, the Board, in the advisory opinion issued to you, did not </w:t>
      </w:r>
      <w:r w:rsidR="003770E4">
        <w:rPr>
          <w:rFonts w:ascii="Calibri" w:hAnsi="Calibri" w:cs="Calibri"/>
          <w:sz w:val="16"/>
          <w:szCs w:val="16"/>
        </w:rPr>
        <w:t>need to determine whether you actually had</w:t>
      </w:r>
      <w:r w:rsidR="00514F66">
        <w:rPr>
          <w:rFonts w:ascii="Calibri" w:hAnsi="Calibri" w:cs="Calibri"/>
          <w:sz w:val="16"/>
          <w:szCs w:val="16"/>
        </w:rPr>
        <w:t xml:space="preserve"> </w:t>
      </w:r>
      <w:r w:rsidR="00A002BA">
        <w:rPr>
          <w:rFonts w:ascii="Calibri" w:hAnsi="Calibri" w:cs="Calibri"/>
          <w:sz w:val="16"/>
          <w:szCs w:val="16"/>
        </w:rPr>
        <w:t xml:space="preserve">or exercised </w:t>
      </w:r>
      <w:r w:rsidR="00514F66">
        <w:rPr>
          <w:rFonts w:ascii="Calibri" w:hAnsi="Calibri" w:cs="Calibri"/>
          <w:sz w:val="16"/>
          <w:szCs w:val="16"/>
        </w:rPr>
        <w:t>contract management authority, nor did the Board need to run through a litany of any cases in which you participated personally and substantially</w:t>
      </w:r>
      <w:r w:rsidR="00A002BA">
        <w:rPr>
          <w:rFonts w:ascii="Calibri" w:hAnsi="Calibri" w:cs="Calibri"/>
          <w:sz w:val="16"/>
          <w:szCs w:val="16"/>
        </w:rPr>
        <w:t xml:space="preserve">. Your assertion, made in your request, that you were never counsel of record in </w:t>
      </w:r>
      <w:proofErr w:type="gramStart"/>
      <w:r w:rsidR="00A002BA">
        <w:rPr>
          <w:rFonts w:ascii="Calibri" w:hAnsi="Calibri" w:cs="Calibri"/>
          <w:sz w:val="16"/>
          <w:szCs w:val="16"/>
        </w:rPr>
        <w:t>a</w:t>
      </w:r>
      <w:proofErr w:type="gramEnd"/>
      <w:r w:rsidR="00A002BA">
        <w:rPr>
          <w:rFonts w:ascii="Calibri" w:hAnsi="Calibri" w:cs="Calibri"/>
          <w:sz w:val="16"/>
          <w:szCs w:val="16"/>
        </w:rPr>
        <w:t xml:space="preserve"> </w:t>
      </w:r>
      <w:r w:rsidR="00457083">
        <w:rPr>
          <w:rFonts w:ascii="Calibri" w:hAnsi="Calibri" w:cs="Calibri"/>
          <w:sz w:val="16"/>
          <w:szCs w:val="16"/>
        </w:rPr>
        <w:t xml:space="preserve">  </w:t>
      </w:r>
      <w:r w:rsidR="00A002BA">
        <w:rPr>
          <w:rFonts w:ascii="Calibri" w:hAnsi="Calibri" w:cs="Calibri"/>
          <w:sz w:val="16"/>
          <w:szCs w:val="16"/>
        </w:rPr>
        <w:t xml:space="preserve">H proceeding does not release or exempt you from the prohibition in 100(a).  Instead, it is incumbent on you to ensure that you do not advise or represent someone on a proceeding in which you did personally and substantially participate during your years at </w:t>
      </w:r>
      <w:r w:rsidR="00457083">
        <w:rPr>
          <w:rFonts w:ascii="Calibri" w:hAnsi="Calibri" w:cs="Calibri"/>
          <w:sz w:val="16"/>
          <w:szCs w:val="16"/>
        </w:rPr>
        <w:t xml:space="preserve">  </w:t>
      </w:r>
      <w:r w:rsidR="00A002BA">
        <w:rPr>
          <w:rFonts w:ascii="Calibri" w:hAnsi="Calibri" w:cs="Calibri"/>
          <w:sz w:val="16"/>
          <w:szCs w:val="16"/>
        </w:rPr>
        <w:t>H.  If there were in fact none, then this particular prohibition would have no practical effect in your case.</w:t>
      </w:r>
    </w:p>
    <w:p w:rsidR="00593408" w:rsidRDefault="00593408">
      <w:pPr>
        <w:pStyle w:val="FootnoteText"/>
      </w:pPr>
    </w:p>
  </w:footnote>
  <w:footnote w:id="2">
    <w:p w:rsidR="00C27DF3" w:rsidRPr="007971CA" w:rsidRDefault="00C27DF3" w:rsidP="00C27DF3">
      <w:pPr>
        <w:jc w:val="both"/>
        <w:rPr>
          <w:rFonts w:ascii="Calibri" w:hAnsi="Calibri" w:cs="Calibri"/>
          <w:b/>
          <w:bCs/>
          <w:sz w:val="16"/>
          <w:szCs w:val="16"/>
        </w:rPr>
      </w:pPr>
      <w:r w:rsidRPr="007971CA">
        <w:rPr>
          <w:rStyle w:val="FootnoteReference"/>
          <w:rFonts w:ascii="Calibri" w:hAnsi="Calibri" w:cs="Calibri"/>
          <w:sz w:val="16"/>
          <w:szCs w:val="16"/>
        </w:rPr>
        <w:footnoteRef/>
      </w:r>
      <w:r w:rsidRPr="007971CA">
        <w:rPr>
          <w:rFonts w:ascii="Calibri" w:hAnsi="Calibri" w:cs="Calibri"/>
          <w:sz w:val="16"/>
          <w:szCs w:val="16"/>
        </w:rPr>
        <w:t xml:space="preserve"> That Rule, entitled</w:t>
      </w:r>
      <w:bookmarkStart w:id="0" w:name="RULE_5.6:_RESTRICTIONS_ON_RIGHT_TO_PRACT"/>
      <w:r w:rsidRPr="007971CA">
        <w:rPr>
          <w:rFonts w:ascii="Calibri" w:hAnsi="Calibri" w:cs="Calibri"/>
          <w:b/>
          <w:bCs/>
          <w:sz w:val="16"/>
          <w:szCs w:val="16"/>
        </w:rPr>
        <w:t xml:space="preserve"> RESTRICTIONS ON RIGHT TO PRACTICE</w:t>
      </w:r>
      <w:bookmarkEnd w:id="0"/>
      <w:r w:rsidRPr="007971CA">
        <w:rPr>
          <w:rFonts w:ascii="Calibri" w:hAnsi="Calibri" w:cs="Calibri"/>
          <w:b/>
          <w:bCs/>
          <w:sz w:val="16"/>
          <w:szCs w:val="16"/>
        </w:rPr>
        <w:t>, provides that:</w:t>
      </w:r>
    </w:p>
    <w:p w:rsidR="00C27DF3" w:rsidRPr="007971CA" w:rsidRDefault="00C27DF3" w:rsidP="00C27DF3">
      <w:pPr>
        <w:jc w:val="both"/>
        <w:rPr>
          <w:rFonts w:ascii="Calibri" w:hAnsi="Calibri" w:cs="Calibri"/>
          <w:sz w:val="16"/>
          <w:szCs w:val="16"/>
        </w:rPr>
      </w:pPr>
      <w:r w:rsidRPr="007971CA">
        <w:rPr>
          <w:rFonts w:ascii="Calibri" w:hAnsi="Calibri" w:cs="Calibri"/>
          <w:b/>
          <w:bCs/>
          <w:sz w:val="16"/>
          <w:szCs w:val="16"/>
        </w:rPr>
        <w:t>“</w:t>
      </w:r>
      <w:r w:rsidRPr="007971CA">
        <w:rPr>
          <w:rFonts w:ascii="Calibri" w:hAnsi="Calibri" w:cs="Calibri"/>
          <w:sz w:val="16"/>
          <w:szCs w:val="16"/>
        </w:rPr>
        <w:t>A lawyer shall not participate in offering or making:</w:t>
      </w:r>
    </w:p>
    <w:p w:rsidR="00C27DF3" w:rsidRPr="007971CA" w:rsidRDefault="00C27DF3" w:rsidP="00C27DF3">
      <w:pPr>
        <w:widowControl/>
        <w:autoSpaceDE/>
        <w:autoSpaceDN/>
        <w:adjustRightInd/>
        <w:rPr>
          <w:rFonts w:ascii="Calibri" w:hAnsi="Calibri" w:cs="Calibri"/>
          <w:sz w:val="16"/>
          <w:szCs w:val="16"/>
        </w:rPr>
      </w:pPr>
      <w:r w:rsidRPr="007971CA">
        <w:rPr>
          <w:rFonts w:ascii="Calibri" w:hAnsi="Calibri" w:cs="Calibri"/>
          <w:sz w:val="16"/>
          <w:szCs w:val="16"/>
        </w:rPr>
        <w:t> (a) a partnership, shareholders, operating, employment, or other similar type of agreement that restricts the right of a lawyer to practice after termination of the relationship, except an agreement concerning benefits upon retirement; or</w:t>
      </w:r>
    </w:p>
    <w:p w:rsidR="00C27DF3" w:rsidRPr="007971CA" w:rsidRDefault="00C27DF3" w:rsidP="00C27DF3">
      <w:pPr>
        <w:widowControl/>
        <w:autoSpaceDE/>
        <w:autoSpaceDN/>
        <w:adjustRightInd/>
        <w:rPr>
          <w:rFonts w:ascii="Calibri" w:hAnsi="Calibri" w:cs="Calibri"/>
          <w:sz w:val="16"/>
          <w:szCs w:val="16"/>
        </w:rPr>
      </w:pPr>
      <w:r w:rsidRPr="007971CA">
        <w:rPr>
          <w:rFonts w:ascii="Calibri" w:hAnsi="Calibri" w:cs="Calibri"/>
          <w:sz w:val="16"/>
          <w:szCs w:val="16"/>
        </w:rPr>
        <w:t xml:space="preserve">(b) </w:t>
      </w:r>
      <w:proofErr w:type="gramStart"/>
      <w:r w:rsidRPr="007971CA">
        <w:rPr>
          <w:rFonts w:ascii="Calibri" w:hAnsi="Calibri" w:cs="Calibri"/>
          <w:sz w:val="16"/>
          <w:szCs w:val="16"/>
        </w:rPr>
        <w:t>an</w:t>
      </w:r>
      <w:proofErr w:type="gramEnd"/>
      <w:r w:rsidRPr="007971CA">
        <w:rPr>
          <w:rFonts w:ascii="Calibri" w:hAnsi="Calibri" w:cs="Calibri"/>
          <w:sz w:val="16"/>
          <w:szCs w:val="16"/>
        </w:rPr>
        <w:t xml:space="preserve"> agreement in which a restriction on the lawyer’s right to practice is part of the settlement of a client controversy.</w:t>
      </w:r>
    </w:p>
    <w:p w:rsidR="00C27DF3" w:rsidRPr="007971CA" w:rsidRDefault="00C27DF3" w:rsidP="00C27DF3">
      <w:pPr>
        <w:widowControl/>
        <w:autoSpaceDE/>
        <w:autoSpaceDN/>
        <w:adjustRightInd/>
        <w:jc w:val="both"/>
        <w:rPr>
          <w:rFonts w:ascii="Calibri" w:hAnsi="Calibri" w:cs="Calibri"/>
          <w:sz w:val="16"/>
          <w:szCs w:val="16"/>
        </w:rPr>
      </w:pPr>
      <w:r w:rsidRPr="007971CA">
        <w:rPr>
          <w:rFonts w:ascii="Calibri" w:hAnsi="Calibri" w:cs="Calibri"/>
          <w:b/>
          <w:bCs/>
          <w:sz w:val="16"/>
          <w:szCs w:val="16"/>
        </w:rPr>
        <w:t>Comment</w:t>
      </w:r>
    </w:p>
    <w:p w:rsidR="00C27DF3" w:rsidRPr="007971CA" w:rsidRDefault="00C27DF3" w:rsidP="00C27DF3">
      <w:pPr>
        <w:widowControl/>
        <w:autoSpaceDE/>
        <w:autoSpaceDN/>
        <w:adjustRightInd/>
        <w:jc w:val="both"/>
        <w:rPr>
          <w:rFonts w:ascii="Calibri" w:hAnsi="Calibri" w:cs="Calibri"/>
          <w:sz w:val="16"/>
          <w:szCs w:val="16"/>
        </w:rPr>
      </w:pPr>
      <w:r w:rsidRPr="007971CA">
        <w:rPr>
          <w:rFonts w:ascii="Calibri" w:hAnsi="Calibri" w:cs="Calibri"/>
          <w:sz w:val="16"/>
          <w:szCs w:val="16"/>
        </w:rPr>
        <w:t>[1] An agreement restricting the right of lawyers to practice after leaving a firm not only limits their professional autonomy but also limits the freedom of clients to choose a lawyer. Paragraph (a) prohibits such agreements except for restrictions incident to provisions concerning retirement benefits for service with the firm.</w:t>
      </w:r>
    </w:p>
    <w:p w:rsidR="00C27DF3" w:rsidRPr="007971CA" w:rsidRDefault="00C27DF3" w:rsidP="00C27DF3">
      <w:pPr>
        <w:widowControl/>
        <w:autoSpaceDE/>
        <w:autoSpaceDN/>
        <w:adjustRightInd/>
        <w:jc w:val="both"/>
        <w:rPr>
          <w:rFonts w:ascii="Calibri" w:hAnsi="Calibri" w:cs="Calibri"/>
          <w:sz w:val="16"/>
          <w:szCs w:val="16"/>
        </w:rPr>
      </w:pPr>
      <w:r w:rsidRPr="007971CA">
        <w:rPr>
          <w:rFonts w:ascii="Calibri" w:hAnsi="Calibri" w:cs="Calibri"/>
          <w:sz w:val="16"/>
          <w:szCs w:val="16"/>
        </w:rPr>
        <w:t>[2] Paragraph (b) prohibits a lawyer from agreeing not to represent other persons in connection with settling a claim on behalf of a client.</w:t>
      </w:r>
    </w:p>
    <w:p w:rsidR="00C27DF3" w:rsidRPr="007971CA" w:rsidRDefault="00C27DF3" w:rsidP="00C27DF3">
      <w:pPr>
        <w:widowControl/>
        <w:autoSpaceDE/>
        <w:autoSpaceDN/>
        <w:adjustRightInd/>
        <w:jc w:val="both"/>
        <w:rPr>
          <w:rFonts w:ascii="Calibri" w:hAnsi="Calibri" w:cs="Calibri"/>
          <w:sz w:val="16"/>
          <w:szCs w:val="16"/>
        </w:rPr>
      </w:pPr>
      <w:r w:rsidRPr="007971CA">
        <w:rPr>
          <w:rFonts w:ascii="Calibri" w:hAnsi="Calibri" w:cs="Calibri"/>
          <w:sz w:val="16"/>
          <w:szCs w:val="16"/>
        </w:rPr>
        <w:t>[3] This Rule does not apply to prohibit restrictions that may be included in the terms of the sale of a law practice pursuant to Rule 1.17.”</w:t>
      </w:r>
    </w:p>
    <w:p w:rsidR="00C27DF3" w:rsidRPr="007971CA" w:rsidRDefault="00C27DF3" w:rsidP="00C27DF3">
      <w:pPr>
        <w:widowControl/>
        <w:autoSpaceDE/>
        <w:autoSpaceDN/>
        <w:adjustRightInd/>
        <w:jc w:val="both"/>
        <w:rPr>
          <w:rFonts w:ascii="Calibri" w:hAnsi="Calibri" w:cs="Calibri"/>
          <w:sz w:val="16"/>
          <w:szCs w:val="16"/>
        </w:rPr>
      </w:pPr>
      <w:proofErr w:type="gramStart"/>
      <w:r w:rsidRPr="007971CA">
        <w:rPr>
          <w:rFonts w:ascii="Calibri" w:hAnsi="Calibri" w:cs="Calibri"/>
          <w:sz w:val="16"/>
          <w:szCs w:val="16"/>
        </w:rPr>
        <w:t>Adopted July 1, 2009, effective January 1, 2010.</w:t>
      </w:r>
      <w:proofErr w:type="gramEnd"/>
    </w:p>
    <w:p w:rsidR="00C27DF3" w:rsidRDefault="00C27DF3">
      <w:pPr>
        <w:pStyle w:val="FootnoteText"/>
      </w:pPr>
    </w:p>
  </w:footnote>
  <w:footnote w:id="3">
    <w:p w:rsidR="00D06BA5" w:rsidRPr="000F3C84" w:rsidRDefault="00D06BA5" w:rsidP="005503CB">
      <w:pPr>
        <w:pStyle w:val="FootnoteText"/>
        <w:spacing w:after="0"/>
        <w:jc w:val="both"/>
        <w:rPr>
          <w:sz w:val="16"/>
          <w:szCs w:val="16"/>
        </w:rPr>
      </w:pPr>
      <w:r>
        <w:rPr>
          <w:rStyle w:val="FootnoteReference"/>
        </w:rPr>
        <w:footnoteRef/>
      </w:r>
      <w:r>
        <w:t xml:space="preserve"> </w:t>
      </w:r>
      <w:r w:rsidRPr="000F3C84">
        <w:rPr>
          <w:sz w:val="16"/>
          <w:szCs w:val="16"/>
        </w:rPr>
        <w:t xml:space="preserve">Notably, the article you attach to your request, </w:t>
      </w:r>
      <w:r w:rsidR="000F3C84" w:rsidRPr="000F3C84">
        <w:rPr>
          <w:sz w:val="16"/>
          <w:szCs w:val="16"/>
        </w:rPr>
        <w:t xml:space="preserve">“Five Things </w:t>
      </w:r>
      <w:r w:rsidR="000F3C84">
        <w:rPr>
          <w:sz w:val="16"/>
          <w:szCs w:val="16"/>
        </w:rPr>
        <w:t>E</w:t>
      </w:r>
      <w:r w:rsidR="000F3C84" w:rsidRPr="000F3C84">
        <w:rPr>
          <w:sz w:val="16"/>
          <w:szCs w:val="16"/>
        </w:rPr>
        <w:t xml:space="preserve">very Lawyer Should Know about Agreements that Restrict, or Effectively Restrict, A Lawyer’s Practice </w:t>
      </w:r>
      <w:proofErr w:type="gramStart"/>
      <w:r w:rsidR="000F3C84" w:rsidRPr="000F3C84">
        <w:rPr>
          <w:sz w:val="16"/>
          <w:szCs w:val="16"/>
        </w:rPr>
        <w:t>After</w:t>
      </w:r>
      <w:proofErr w:type="gramEnd"/>
      <w:r w:rsidR="000F3C84" w:rsidRPr="000F3C84">
        <w:rPr>
          <w:sz w:val="16"/>
          <w:szCs w:val="16"/>
        </w:rPr>
        <w:t xml:space="preserve"> Termination,”</w:t>
      </w:r>
      <w:r w:rsidR="000F3C84">
        <w:rPr>
          <w:sz w:val="16"/>
          <w:szCs w:val="16"/>
        </w:rPr>
        <w:t xml:space="preserve"> covers lawyers who practice with a firm, in-house lawyers and corporate lawyers, but is silent as to government lawyers.</w:t>
      </w:r>
    </w:p>
  </w:footnote>
  <w:footnote w:id="4">
    <w:p w:rsidR="00954B25" w:rsidRPr="00C22075" w:rsidRDefault="00954B25" w:rsidP="004920E8">
      <w:pPr>
        <w:pStyle w:val="FootnoteText"/>
        <w:spacing w:after="0"/>
        <w:jc w:val="both"/>
        <w:rPr>
          <w:sz w:val="16"/>
          <w:szCs w:val="16"/>
        </w:rPr>
      </w:pPr>
      <w:r>
        <w:rPr>
          <w:rStyle w:val="FootnoteReference"/>
        </w:rPr>
        <w:footnoteRef/>
      </w:r>
      <w:r>
        <w:t xml:space="preserve"> </w:t>
      </w:r>
      <w:r w:rsidR="00C22075" w:rsidRPr="00C22075">
        <w:rPr>
          <w:sz w:val="16"/>
          <w:szCs w:val="16"/>
        </w:rPr>
        <w:t xml:space="preserve">The article </w:t>
      </w:r>
      <w:r w:rsidR="000F3C84">
        <w:rPr>
          <w:sz w:val="16"/>
          <w:szCs w:val="16"/>
        </w:rPr>
        <w:t xml:space="preserve">attached </w:t>
      </w:r>
      <w:r w:rsidR="00C22075" w:rsidRPr="00C22075">
        <w:rPr>
          <w:sz w:val="16"/>
          <w:szCs w:val="16"/>
        </w:rPr>
        <w:t>to your request for reconsideration states that “[w]</w:t>
      </w:r>
      <w:proofErr w:type="spellStart"/>
      <w:r w:rsidR="00C22075" w:rsidRPr="00C22075">
        <w:rPr>
          <w:sz w:val="16"/>
          <w:szCs w:val="16"/>
        </w:rPr>
        <w:t>ith</w:t>
      </w:r>
      <w:proofErr w:type="spellEnd"/>
      <w:r w:rsidR="00C22075" w:rsidRPr="00C22075">
        <w:rPr>
          <w:sz w:val="16"/>
          <w:szCs w:val="16"/>
        </w:rPr>
        <w:t xml:space="preserve"> limited variations… [</w:t>
      </w:r>
      <w:r w:rsidR="00C22075">
        <w:rPr>
          <w:sz w:val="16"/>
          <w:szCs w:val="16"/>
        </w:rPr>
        <w:t>R</w:t>
      </w:r>
      <w:r w:rsidR="00C22075" w:rsidRPr="00C22075">
        <w:rPr>
          <w:sz w:val="16"/>
          <w:szCs w:val="16"/>
        </w:rPr>
        <w:t>ule] 5.6 has been adopted in nearly every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D15" w:rsidRDefault="00373BE6">
    <w:pPr>
      <w:pStyle w:val="Header"/>
      <w:rPr>
        <w:rFonts w:ascii="Calibri" w:hAnsi="Calibri" w:cs="Calibri"/>
        <w:sz w:val="22"/>
        <w:szCs w:val="22"/>
      </w:rPr>
    </w:pPr>
    <w:r>
      <w:rPr>
        <w:rFonts w:ascii="Calibri" w:hAnsi="Calibri" w:cs="Calibri"/>
        <w:sz w:val="22"/>
        <w:szCs w:val="22"/>
      </w:rPr>
      <w:t xml:space="preserve">[Date]                    </w:t>
    </w:r>
    <w:r w:rsidR="004920E8">
      <w:rPr>
        <w:rFonts w:ascii="Calibri" w:hAnsi="Calibri" w:cs="Calibri"/>
        <w:sz w:val="22"/>
        <w:szCs w:val="22"/>
      </w:rPr>
      <w:t xml:space="preserve">, </w:t>
    </w:r>
    <w:r w:rsidR="00193D15" w:rsidRPr="000C3BFC">
      <w:rPr>
        <w:rFonts w:ascii="Calibri" w:hAnsi="Calibri" w:cs="Calibri"/>
        <w:sz w:val="22"/>
        <w:szCs w:val="22"/>
      </w:rPr>
      <w:t>Case No</w:t>
    </w:r>
    <w:r w:rsidR="00CA7EFF">
      <w:rPr>
        <w:rFonts w:ascii="Calibri" w:hAnsi="Calibri" w:cs="Calibri"/>
        <w:sz w:val="22"/>
        <w:szCs w:val="22"/>
      </w:rPr>
      <w:t>. 151698.A</w:t>
    </w:r>
  </w:p>
  <w:p w:rsidR="004920E8" w:rsidRDefault="004920E8">
    <w:pPr>
      <w:pStyle w:val="Header"/>
      <w:rPr>
        <w:rFonts w:ascii="Calibri" w:hAnsi="Calibri" w:cs="Calibri"/>
        <w:sz w:val="22"/>
        <w:szCs w:val="22"/>
      </w:rPr>
    </w:pPr>
    <w:r>
      <w:rPr>
        <w:rFonts w:ascii="Calibri" w:hAnsi="Calibri" w:cs="Calibri"/>
        <w:sz w:val="22"/>
        <w:szCs w:val="22"/>
      </w:rPr>
      <w:t>Request for Reconsideration</w:t>
    </w:r>
  </w:p>
  <w:p w:rsidR="00C63747" w:rsidRDefault="00C63747">
    <w:pPr>
      <w:pStyle w:val="Header"/>
      <w:rPr>
        <w:rFonts w:ascii="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A7DCF"/>
    <w:multiLevelType w:val="hybridMultilevel"/>
    <w:tmpl w:val="18024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82265B"/>
    <w:multiLevelType w:val="hybridMultilevel"/>
    <w:tmpl w:val="84508CB8"/>
    <w:lvl w:ilvl="0" w:tplc="EF682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81A415C"/>
    <w:multiLevelType w:val="hybridMultilevel"/>
    <w:tmpl w:val="73AAA3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729"/>
    <w:rsid w:val="00031772"/>
    <w:rsid w:val="00055F36"/>
    <w:rsid w:val="00061099"/>
    <w:rsid w:val="000C3BFC"/>
    <w:rsid w:val="000E49B8"/>
    <w:rsid w:val="000F1536"/>
    <w:rsid w:val="000F3441"/>
    <w:rsid w:val="000F3C84"/>
    <w:rsid w:val="00101F85"/>
    <w:rsid w:val="0011254B"/>
    <w:rsid w:val="0014245E"/>
    <w:rsid w:val="00144F95"/>
    <w:rsid w:val="00160ABB"/>
    <w:rsid w:val="001633F4"/>
    <w:rsid w:val="00177439"/>
    <w:rsid w:val="0018504F"/>
    <w:rsid w:val="00193567"/>
    <w:rsid w:val="00193D15"/>
    <w:rsid w:val="001A546C"/>
    <w:rsid w:val="001D6160"/>
    <w:rsid w:val="001E2248"/>
    <w:rsid w:val="00214474"/>
    <w:rsid w:val="00227AF0"/>
    <w:rsid w:val="00250B3C"/>
    <w:rsid w:val="00257EFB"/>
    <w:rsid w:val="002602BD"/>
    <w:rsid w:val="00277E80"/>
    <w:rsid w:val="00291672"/>
    <w:rsid w:val="0029685A"/>
    <w:rsid w:val="002A3729"/>
    <w:rsid w:val="002B0018"/>
    <w:rsid w:val="002C19DE"/>
    <w:rsid w:val="002E6680"/>
    <w:rsid w:val="00311864"/>
    <w:rsid w:val="00351C4C"/>
    <w:rsid w:val="00352A1D"/>
    <w:rsid w:val="003543C8"/>
    <w:rsid w:val="0037138F"/>
    <w:rsid w:val="00373BE6"/>
    <w:rsid w:val="003770E4"/>
    <w:rsid w:val="00381424"/>
    <w:rsid w:val="003B67AA"/>
    <w:rsid w:val="003D6BF2"/>
    <w:rsid w:val="003E5CE4"/>
    <w:rsid w:val="00453E4D"/>
    <w:rsid w:val="00457083"/>
    <w:rsid w:val="00460DC9"/>
    <w:rsid w:val="00477F3B"/>
    <w:rsid w:val="004808DA"/>
    <w:rsid w:val="004836F4"/>
    <w:rsid w:val="004920E8"/>
    <w:rsid w:val="00492B37"/>
    <w:rsid w:val="004A2C2B"/>
    <w:rsid w:val="004D34ED"/>
    <w:rsid w:val="004D37ED"/>
    <w:rsid w:val="004E14E1"/>
    <w:rsid w:val="004E52E3"/>
    <w:rsid w:val="004F6BA3"/>
    <w:rsid w:val="00514F66"/>
    <w:rsid w:val="00527C64"/>
    <w:rsid w:val="005503CB"/>
    <w:rsid w:val="00561D45"/>
    <w:rsid w:val="005654F8"/>
    <w:rsid w:val="00591535"/>
    <w:rsid w:val="00593408"/>
    <w:rsid w:val="00595C86"/>
    <w:rsid w:val="005C576E"/>
    <w:rsid w:val="005E292F"/>
    <w:rsid w:val="00615996"/>
    <w:rsid w:val="00621877"/>
    <w:rsid w:val="00660FA7"/>
    <w:rsid w:val="00674D95"/>
    <w:rsid w:val="006E2824"/>
    <w:rsid w:val="0070406E"/>
    <w:rsid w:val="0076192E"/>
    <w:rsid w:val="00785C55"/>
    <w:rsid w:val="00786A9B"/>
    <w:rsid w:val="007971CA"/>
    <w:rsid w:val="007D6E24"/>
    <w:rsid w:val="007F19DC"/>
    <w:rsid w:val="00801A5D"/>
    <w:rsid w:val="00831CFA"/>
    <w:rsid w:val="00847829"/>
    <w:rsid w:val="0088507A"/>
    <w:rsid w:val="008C652D"/>
    <w:rsid w:val="008D6EC8"/>
    <w:rsid w:val="008F54BA"/>
    <w:rsid w:val="00954B25"/>
    <w:rsid w:val="00955F3D"/>
    <w:rsid w:val="00960353"/>
    <w:rsid w:val="009A1D0A"/>
    <w:rsid w:val="009B79C3"/>
    <w:rsid w:val="009D57B2"/>
    <w:rsid w:val="009E1327"/>
    <w:rsid w:val="009E78C9"/>
    <w:rsid w:val="00A002BA"/>
    <w:rsid w:val="00A178E1"/>
    <w:rsid w:val="00A278A8"/>
    <w:rsid w:val="00A32DFD"/>
    <w:rsid w:val="00A65543"/>
    <w:rsid w:val="00A66E57"/>
    <w:rsid w:val="00AB3742"/>
    <w:rsid w:val="00AC333A"/>
    <w:rsid w:val="00AD339A"/>
    <w:rsid w:val="00AE0389"/>
    <w:rsid w:val="00B05DFC"/>
    <w:rsid w:val="00B06906"/>
    <w:rsid w:val="00B2615B"/>
    <w:rsid w:val="00B31FB1"/>
    <w:rsid w:val="00B34D89"/>
    <w:rsid w:val="00B50FD8"/>
    <w:rsid w:val="00B84E88"/>
    <w:rsid w:val="00BA1E26"/>
    <w:rsid w:val="00C22075"/>
    <w:rsid w:val="00C23490"/>
    <w:rsid w:val="00C27DF3"/>
    <w:rsid w:val="00C63747"/>
    <w:rsid w:val="00CA7EFF"/>
    <w:rsid w:val="00CB134F"/>
    <w:rsid w:val="00CB7EE3"/>
    <w:rsid w:val="00D01144"/>
    <w:rsid w:val="00D067AD"/>
    <w:rsid w:val="00D06BA5"/>
    <w:rsid w:val="00D12C36"/>
    <w:rsid w:val="00D1306D"/>
    <w:rsid w:val="00D20B11"/>
    <w:rsid w:val="00D56317"/>
    <w:rsid w:val="00DF449E"/>
    <w:rsid w:val="00E91D39"/>
    <w:rsid w:val="00EA1B1C"/>
    <w:rsid w:val="00EF3613"/>
    <w:rsid w:val="00F01550"/>
    <w:rsid w:val="00F0735F"/>
    <w:rsid w:val="00F458E7"/>
    <w:rsid w:val="00F56E74"/>
    <w:rsid w:val="00F7290B"/>
    <w:rsid w:val="00F9168E"/>
    <w:rsid w:val="00FC185C"/>
    <w:rsid w:val="00FC460D"/>
    <w:rsid w:val="00FC4D9B"/>
    <w:rsid w:val="00FD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E74"/>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60353"/>
    <w:pPr>
      <w:tabs>
        <w:tab w:val="center" w:pos="4320"/>
        <w:tab w:val="right" w:pos="8640"/>
      </w:tabs>
    </w:pPr>
  </w:style>
  <w:style w:type="paragraph" w:styleId="Footer">
    <w:name w:val="footer"/>
    <w:basedOn w:val="Normal"/>
    <w:rsid w:val="00960353"/>
    <w:pPr>
      <w:tabs>
        <w:tab w:val="center" w:pos="4320"/>
        <w:tab w:val="right" w:pos="8640"/>
      </w:tabs>
    </w:pPr>
  </w:style>
  <w:style w:type="paragraph" w:styleId="ListParagraph">
    <w:name w:val="List Paragraph"/>
    <w:basedOn w:val="Normal"/>
    <w:uiPriority w:val="34"/>
    <w:qFormat/>
    <w:rsid w:val="005654F8"/>
    <w:pPr>
      <w:ind w:left="720"/>
    </w:pPr>
  </w:style>
  <w:style w:type="paragraph" w:styleId="BalloonText">
    <w:name w:val="Balloon Text"/>
    <w:basedOn w:val="Normal"/>
    <w:link w:val="BalloonTextChar"/>
    <w:uiPriority w:val="99"/>
    <w:semiHidden/>
    <w:unhideWhenUsed/>
    <w:rsid w:val="00595C86"/>
    <w:rPr>
      <w:rFonts w:ascii="Tahoma" w:hAnsi="Tahoma" w:cs="Tahoma"/>
      <w:sz w:val="16"/>
      <w:szCs w:val="16"/>
    </w:rPr>
  </w:style>
  <w:style w:type="character" w:customStyle="1" w:styleId="BalloonTextChar">
    <w:name w:val="Balloon Text Char"/>
    <w:link w:val="BalloonText"/>
    <w:uiPriority w:val="99"/>
    <w:semiHidden/>
    <w:rsid w:val="00595C86"/>
    <w:rPr>
      <w:rFonts w:ascii="Tahoma" w:hAnsi="Tahoma" w:cs="Tahoma"/>
      <w:sz w:val="16"/>
      <w:szCs w:val="16"/>
    </w:rPr>
  </w:style>
  <w:style w:type="paragraph" w:styleId="NoSpacing">
    <w:name w:val="No Spacing"/>
    <w:uiPriority w:val="1"/>
    <w:qFormat/>
    <w:rsid w:val="00D56317"/>
    <w:pPr>
      <w:widowControl w:val="0"/>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D56317"/>
    <w:pPr>
      <w:widowControl/>
      <w:autoSpaceDE/>
      <w:autoSpaceDN/>
      <w:adjustRightInd/>
      <w:spacing w:after="-1"/>
    </w:pPr>
    <w:rPr>
      <w:rFonts w:ascii="Calibri" w:eastAsia="Calibri" w:hAnsi="Calibri"/>
      <w:sz w:val="20"/>
      <w:szCs w:val="20"/>
    </w:rPr>
  </w:style>
  <w:style w:type="character" w:customStyle="1" w:styleId="FootnoteTextChar">
    <w:name w:val="Footnote Text Char"/>
    <w:link w:val="FootnoteText"/>
    <w:uiPriority w:val="99"/>
    <w:semiHidden/>
    <w:rsid w:val="00D56317"/>
    <w:rPr>
      <w:rFonts w:ascii="Calibri" w:eastAsia="Calibri" w:hAnsi="Calibri"/>
    </w:rPr>
  </w:style>
  <w:style w:type="character" w:styleId="FootnoteReference">
    <w:name w:val="footnote reference"/>
    <w:uiPriority w:val="99"/>
    <w:semiHidden/>
    <w:unhideWhenUsed/>
    <w:rsid w:val="00D563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E74"/>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960353"/>
    <w:pPr>
      <w:tabs>
        <w:tab w:val="center" w:pos="4320"/>
        <w:tab w:val="right" w:pos="8640"/>
      </w:tabs>
    </w:pPr>
  </w:style>
  <w:style w:type="paragraph" w:styleId="Footer">
    <w:name w:val="footer"/>
    <w:basedOn w:val="Normal"/>
    <w:rsid w:val="00960353"/>
    <w:pPr>
      <w:tabs>
        <w:tab w:val="center" w:pos="4320"/>
        <w:tab w:val="right" w:pos="8640"/>
      </w:tabs>
    </w:pPr>
  </w:style>
  <w:style w:type="paragraph" w:styleId="ListParagraph">
    <w:name w:val="List Paragraph"/>
    <w:basedOn w:val="Normal"/>
    <w:uiPriority w:val="34"/>
    <w:qFormat/>
    <w:rsid w:val="005654F8"/>
    <w:pPr>
      <w:ind w:left="720"/>
    </w:pPr>
  </w:style>
  <w:style w:type="paragraph" w:styleId="BalloonText">
    <w:name w:val="Balloon Text"/>
    <w:basedOn w:val="Normal"/>
    <w:link w:val="BalloonTextChar"/>
    <w:uiPriority w:val="99"/>
    <w:semiHidden/>
    <w:unhideWhenUsed/>
    <w:rsid w:val="00595C86"/>
    <w:rPr>
      <w:rFonts w:ascii="Tahoma" w:hAnsi="Tahoma" w:cs="Tahoma"/>
      <w:sz w:val="16"/>
      <w:szCs w:val="16"/>
    </w:rPr>
  </w:style>
  <w:style w:type="character" w:customStyle="1" w:styleId="BalloonTextChar">
    <w:name w:val="Balloon Text Char"/>
    <w:link w:val="BalloonText"/>
    <w:uiPriority w:val="99"/>
    <w:semiHidden/>
    <w:rsid w:val="00595C86"/>
    <w:rPr>
      <w:rFonts w:ascii="Tahoma" w:hAnsi="Tahoma" w:cs="Tahoma"/>
      <w:sz w:val="16"/>
      <w:szCs w:val="16"/>
    </w:rPr>
  </w:style>
  <w:style w:type="paragraph" w:styleId="NoSpacing">
    <w:name w:val="No Spacing"/>
    <w:uiPriority w:val="1"/>
    <w:qFormat/>
    <w:rsid w:val="00D56317"/>
    <w:pPr>
      <w:widowControl w:val="0"/>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D56317"/>
    <w:pPr>
      <w:widowControl/>
      <w:autoSpaceDE/>
      <w:autoSpaceDN/>
      <w:adjustRightInd/>
      <w:spacing w:after="-1"/>
    </w:pPr>
    <w:rPr>
      <w:rFonts w:ascii="Calibri" w:eastAsia="Calibri" w:hAnsi="Calibri"/>
      <w:sz w:val="20"/>
      <w:szCs w:val="20"/>
    </w:rPr>
  </w:style>
  <w:style w:type="character" w:customStyle="1" w:styleId="FootnoteTextChar">
    <w:name w:val="Footnote Text Char"/>
    <w:link w:val="FootnoteText"/>
    <w:uiPriority w:val="99"/>
    <w:semiHidden/>
    <w:rsid w:val="00D56317"/>
    <w:rPr>
      <w:rFonts w:ascii="Calibri" w:eastAsia="Calibri" w:hAnsi="Calibri"/>
    </w:rPr>
  </w:style>
  <w:style w:type="character" w:styleId="FootnoteReference">
    <w:name w:val="footnote reference"/>
    <w:uiPriority w:val="99"/>
    <w:semiHidden/>
    <w:unhideWhenUsed/>
    <w:rsid w:val="00D563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76231">
      <w:bodyDiv w:val="1"/>
      <w:marLeft w:val="0"/>
      <w:marRight w:val="0"/>
      <w:marTop w:val="0"/>
      <w:marBottom w:val="0"/>
      <w:divBdr>
        <w:top w:val="none" w:sz="0" w:space="0" w:color="auto"/>
        <w:left w:val="none" w:sz="0" w:space="0" w:color="auto"/>
        <w:bottom w:val="none" w:sz="0" w:space="0" w:color="auto"/>
        <w:right w:val="none" w:sz="0" w:space="0" w:color="auto"/>
      </w:divBdr>
      <w:divsChild>
        <w:div w:id="144665210">
          <w:marLeft w:val="0"/>
          <w:marRight w:val="0"/>
          <w:marTop w:val="0"/>
          <w:marBottom w:val="0"/>
          <w:divBdr>
            <w:top w:val="none" w:sz="0" w:space="0" w:color="auto"/>
            <w:left w:val="none" w:sz="0" w:space="0" w:color="auto"/>
            <w:bottom w:val="none" w:sz="0" w:space="0" w:color="auto"/>
            <w:right w:val="none" w:sz="0" w:space="0" w:color="auto"/>
          </w:divBdr>
        </w:div>
        <w:div w:id="1933969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EE1B-FC26-4B56-A631-C62ECCCC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CONFIDENTIAL</vt:lpstr>
    </vt:vector>
  </TitlesOfParts>
  <Company>CITY OF CHICAGO</Company>
  <LinksUpToDate>false</LinksUpToDate>
  <CharactersWithSpaces>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Administrator</dc:creator>
  <cp:lastModifiedBy>Administrator</cp:lastModifiedBy>
  <cp:revision>2</cp:revision>
  <cp:lastPrinted>2014-01-21T16:42:00Z</cp:lastPrinted>
  <dcterms:created xsi:type="dcterms:W3CDTF">2016-04-18T14:14:00Z</dcterms:created>
  <dcterms:modified xsi:type="dcterms:W3CDTF">2016-04-18T14:14:00Z</dcterms:modified>
</cp:coreProperties>
</file>