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E8" w:rsidRDefault="005320E8" w:rsidP="005320E8">
      <w:pPr>
        <w:ind w:left="-2160"/>
        <w:jc w:val="both"/>
        <w:rPr>
          <w:rFonts w:ascii="Arial" w:eastAsia="Calibri" w:hAnsi="Arial" w:cs="Arial"/>
          <w:sz w:val="22"/>
        </w:rPr>
      </w:pPr>
    </w:p>
    <w:p w:rsidR="00242CA1" w:rsidRDefault="00242CA1"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p>
    <w:p w:rsidR="005320E8" w:rsidRDefault="00BD4916" w:rsidP="005320E8">
      <w:pPr>
        <w:ind w:left="-2160"/>
        <w:jc w:val="both"/>
        <w:rPr>
          <w:rFonts w:ascii="Arial" w:eastAsia="Calibri" w:hAnsi="Arial" w:cs="Arial"/>
          <w:sz w:val="22"/>
        </w:rPr>
      </w:pPr>
      <w:r>
        <w:rPr>
          <w:rFonts w:ascii="Arial" w:eastAsia="Calibri" w:hAnsi="Arial" w:cs="Arial"/>
          <w:sz w:val="22"/>
        </w:rPr>
        <w:t xml:space="preserve">      </w:t>
      </w:r>
      <w:r w:rsidR="005320E8">
        <w:rPr>
          <w:rFonts w:ascii="Arial" w:eastAsia="Calibri" w:hAnsi="Arial" w:cs="Arial"/>
          <w:sz w:val="22"/>
        </w:rPr>
        <w:t xml:space="preserve"> 2016</w:t>
      </w:r>
    </w:p>
    <w:p w:rsidR="005320E8" w:rsidRDefault="005320E8" w:rsidP="005320E8">
      <w:pPr>
        <w:ind w:left="-2160"/>
        <w:jc w:val="both"/>
        <w:rPr>
          <w:rFonts w:ascii="Arial" w:eastAsia="Calibri" w:hAnsi="Arial" w:cs="Arial"/>
          <w:sz w:val="22"/>
        </w:rPr>
      </w:pPr>
    </w:p>
    <w:p w:rsidR="005320E8" w:rsidRPr="005320E8" w:rsidRDefault="005320E8" w:rsidP="005320E8">
      <w:pPr>
        <w:ind w:left="-2160"/>
        <w:jc w:val="both"/>
        <w:rPr>
          <w:rFonts w:ascii="Arial" w:eastAsia="Calibri" w:hAnsi="Arial" w:cs="Arial"/>
          <w:b/>
          <w:sz w:val="22"/>
        </w:rPr>
      </w:pPr>
      <w:r w:rsidRPr="005320E8">
        <w:rPr>
          <w:rFonts w:ascii="Arial" w:eastAsia="Calibri" w:hAnsi="Arial" w:cs="Arial"/>
          <w:b/>
          <w:sz w:val="22"/>
        </w:rPr>
        <w:t>CONFIDENTIAL</w:t>
      </w:r>
    </w:p>
    <w:p w:rsid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r>
        <w:rPr>
          <w:rFonts w:ascii="Arial" w:eastAsia="Calibri" w:hAnsi="Arial" w:cs="Arial"/>
          <w:sz w:val="22"/>
        </w:rPr>
        <w:t xml:space="preserve">The Honorable </w:t>
      </w:r>
      <w:r w:rsidR="001A1C22">
        <w:rPr>
          <w:rFonts w:ascii="Arial" w:eastAsia="Calibri" w:hAnsi="Arial" w:cs="Arial"/>
          <w:sz w:val="22"/>
        </w:rPr>
        <w:t>Alderman</w:t>
      </w:r>
    </w:p>
    <w:p w:rsidR="005320E8" w:rsidRDefault="001A1C22" w:rsidP="005320E8">
      <w:pPr>
        <w:ind w:left="-2160"/>
        <w:jc w:val="both"/>
        <w:rPr>
          <w:rFonts w:ascii="Arial" w:eastAsia="Calibri" w:hAnsi="Arial" w:cs="Arial"/>
          <w:sz w:val="22"/>
        </w:rPr>
      </w:pPr>
      <w:r>
        <w:rPr>
          <w:rFonts w:ascii="Arial" w:eastAsia="Calibri" w:hAnsi="Arial" w:cs="Arial"/>
          <w:sz w:val="22"/>
        </w:rPr>
        <w:t xml:space="preserve"> </w:t>
      </w:r>
    </w:p>
    <w:p w:rsidR="000742DC" w:rsidRDefault="000742DC" w:rsidP="005320E8">
      <w:pPr>
        <w:ind w:left="-2160"/>
        <w:jc w:val="both"/>
        <w:rPr>
          <w:rFonts w:ascii="Arial" w:eastAsia="Calibri" w:hAnsi="Arial" w:cs="Arial"/>
          <w:sz w:val="22"/>
        </w:rPr>
      </w:pPr>
    </w:p>
    <w:p w:rsidR="000742DC" w:rsidRPr="000742DC" w:rsidRDefault="000742DC" w:rsidP="005320E8">
      <w:pPr>
        <w:ind w:left="-2160"/>
        <w:jc w:val="both"/>
        <w:rPr>
          <w:rFonts w:ascii="Arial" w:eastAsia="Calibri" w:hAnsi="Arial" w:cs="Arial"/>
          <w:b/>
          <w:sz w:val="22"/>
        </w:rPr>
      </w:pPr>
      <w:r w:rsidRPr="000742DC">
        <w:rPr>
          <w:rFonts w:ascii="Arial" w:eastAsia="Calibri" w:hAnsi="Arial" w:cs="Arial"/>
          <w:b/>
          <w:sz w:val="22"/>
        </w:rPr>
        <w:t>Re:  Case No. 16043.Q</w:t>
      </w:r>
    </w:p>
    <w:p w:rsidR="005320E8" w:rsidRDefault="005320E8" w:rsidP="005320E8">
      <w:pPr>
        <w:ind w:left="-2160"/>
        <w:jc w:val="both"/>
        <w:rPr>
          <w:rFonts w:ascii="Arial" w:eastAsia="Calibri" w:hAnsi="Arial" w:cs="Arial"/>
          <w:sz w:val="22"/>
        </w:rPr>
      </w:pPr>
    </w:p>
    <w:p w:rsidR="005320E8" w:rsidRDefault="001A1C22" w:rsidP="005320E8">
      <w:pPr>
        <w:ind w:left="-2160"/>
        <w:jc w:val="both"/>
        <w:rPr>
          <w:rFonts w:ascii="Arial" w:eastAsia="Calibri" w:hAnsi="Arial" w:cs="Arial"/>
          <w:sz w:val="22"/>
        </w:rPr>
      </w:pPr>
      <w:r>
        <w:rPr>
          <w:rFonts w:ascii="Arial" w:eastAsia="Calibri" w:hAnsi="Arial" w:cs="Arial"/>
          <w:sz w:val="22"/>
        </w:rPr>
        <w:t xml:space="preserve"> </w:t>
      </w:r>
    </w:p>
    <w:p w:rsidR="005320E8" w:rsidRDefault="005320E8" w:rsidP="005320E8">
      <w:pPr>
        <w:ind w:left="-2160"/>
        <w:jc w:val="both"/>
        <w:rPr>
          <w:rFonts w:ascii="Arial" w:eastAsia="Calibri" w:hAnsi="Arial" w:cs="Arial"/>
          <w:sz w:val="22"/>
        </w:rPr>
      </w:pPr>
    </w:p>
    <w:p w:rsidR="005320E8" w:rsidRPr="005320E8" w:rsidRDefault="005320E8" w:rsidP="005320E8">
      <w:pPr>
        <w:ind w:left="-2160"/>
        <w:jc w:val="both"/>
        <w:rPr>
          <w:rFonts w:ascii="Arial" w:eastAsia="Calibri" w:hAnsi="Arial" w:cs="Arial"/>
          <w:sz w:val="22"/>
        </w:rPr>
      </w:pPr>
      <w:r w:rsidRPr="005320E8">
        <w:rPr>
          <w:rFonts w:ascii="Arial" w:eastAsia="Calibri" w:hAnsi="Arial" w:cs="Arial"/>
          <w:sz w:val="22"/>
        </w:rPr>
        <w:t xml:space="preserve">On </w:t>
      </w:r>
      <w:r w:rsidR="00BD4916">
        <w:rPr>
          <w:rFonts w:ascii="Arial" w:eastAsia="Calibri" w:hAnsi="Arial" w:cs="Arial"/>
          <w:sz w:val="22"/>
        </w:rPr>
        <w:t xml:space="preserve">     201</w:t>
      </w:r>
      <w:r w:rsidRPr="005320E8">
        <w:rPr>
          <w:rFonts w:ascii="Arial" w:eastAsia="Calibri" w:hAnsi="Arial" w:cs="Arial"/>
          <w:sz w:val="22"/>
        </w:rPr>
        <w:t xml:space="preserve">6, </w:t>
      </w:r>
      <w:r>
        <w:rPr>
          <w:rFonts w:ascii="Arial" w:eastAsia="Calibri" w:hAnsi="Arial" w:cs="Arial"/>
          <w:sz w:val="22"/>
        </w:rPr>
        <w:t>you advised me that you</w:t>
      </w:r>
      <w:r w:rsidRPr="005320E8">
        <w:rPr>
          <w:rFonts w:ascii="Arial" w:eastAsia="Calibri" w:hAnsi="Arial" w:cs="Arial"/>
          <w:sz w:val="22"/>
        </w:rPr>
        <w:t xml:space="preserve"> intend to purchase real estate located in the City of Chicago (and owned either by the City or third parties) at scavenger sales</w:t>
      </w:r>
      <w:r w:rsidRPr="005320E8">
        <w:rPr>
          <w:rFonts w:ascii="Arial" w:eastAsia="Calibri" w:hAnsi="Arial" w:cs="Arial"/>
          <w:sz w:val="22"/>
          <w:vertAlign w:val="superscript"/>
        </w:rPr>
        <w:footnoteReference w:id="1"/>
      </w:r>
      <w:r w:rsidRPr="005320E8">
        <w:rPr>
          <w:rFonts w:ascii="Arial" w:eastAsia="Calibri" w:hAnsi="Arial" w:cs="Arial"/>
          <w:sz w:val="22"/>
        </w:rPr>
        <w:t xml:space="preserve"> or other sales of property on which the taxes have been delinquent for two years or more, and might place title to this property into </w:t>
      </w:r>
      <w:r>
        <w:rPr>
          <w:rFonts w:ascii="Arial" w:eastAsia="Calibri" w:hAnsi="Arial" w:cs="Arial"/>
          <w:sz w:val="22"/>
        </w:rPr>
        <w:t>your</w:t>
      </w:r>
      <w:r w:rsidRPr="005320E8">
        <w:rPr>
          <w:rFonts w:ascii="Arial" w:eastAsia="Calibri" w:hAnsi="Arial" w:cs="Arial"/>
          <w:sz w:val="22"/>
        </w:rPr>
        <w:t xml:space="preserve"> </w:t>
      </w:r>
      <w:r w:rsidR="001A1C22">
        <w:rPr>
          <w:rFonts w:ascii="Arial" w:eastAsia="Calibri" w:hAnsi="Arial" w:cs="Arial"/>
          <w:sz w:val="22"/>
        </w:rPr>
        <w:t xml:space="preserve">[a relative’s]              </w:t>
      </w:r>
      <w:r w:rsidRPr="005320E8">
        <w:rPr>
          <w:rFonts w:ascii="Arial" w:eastAsia="Calibri" w:hAnsi="Arial" w:cs="Arial"/>
          <w:sz w:val="22"/>
        </w:rPr>
        <w:t xml:space="preserve">trust. </w:t>
      </w:r>
      <w:r>
        <w:rPr>
          <w:rFonts w:ascii="Arial" w:eastAsia="Calibri" w:hAnsi="Arial" w:cs="Arial"/>
          <w:sz w:val="22"/>
        </w:rPr>
        <w:t>You</w:t>
      </w:r>
      <w:r w:rsidRPr="005320E8">
        <w:rPr>
          <w:rFonts w:ascii="Arial" w:eastAsia="Calibri" w:hAnsi="Arial" w:cs="Arial"/>
          <w:sz w:val="22"/>
        </w:rPr>
        <w:t xml:space="preserve"> asked whether, under the Governmental Ethics Ordinance</w:t>
      </w:r>
      <w:r>
        <w:rPr>
          <w:rFonts w:ascii="Arial" w:eastAsia="Calibri" w:hAnsi="Arial" w:cs="Arial"/>
          <w:sz w:val="22"/>
        </w:rPr>
        <w:t xml:space="preserve"> (the “Ordinance”)</w:t>
      </w:r>
      <w:r w:rsidRPr="005320E8">
        <w:rPr>
          <w:rFonts w:ascii="Arial" w:eastAsia="Calibri" w:hAnsi="Arial" w:cs="Arial"/>
          <w:sz w:val="22"/>
        </w:rPr>
        <w:t xml:space="preserve">, </w:t>
      </w:r>
      <w:r>
        <w:rPr>
          <w:rFonts w:ascii="Arial" w:eastAsia="Calibri" w:hAnsi="Arial" w:cs="Arial"/>
          <w:sz w:val="22"/>
        </w:rPr>
        <w:t>your</w:t>
      </w:r>
      <w:r w:rsidRPr="005320E8">
        <w:rPr>
          <w:rFonts w:ascii="Arial" w:eastAsia="Calibri" w:hAnsi="Arial" w:cs="Arial"/>
          <w:sz w:val="22"/>
        </w:rPr>
        <w:t xml:space="preserve"> bids on and purchases (if such bids are successful) would be prohibited, and whether the Ordinance addresses whether </w:t>
      </w:r>
      <w:r>
        <w:rPr>
          <w:rFonts w:ascii="Arial" w:eastAsia="Calibri" w:hAnsi="Arial" w:cs="Arial"/>
          <w:sz w:val="22"/>
        </w:rPr>
        <w:t>you</w:t>
      </w:r>
      <w:r w:rsidRPr="005320E8">
        <w:rPr>
          <w:rFonts w:ascii="Arial" w:eastAsia="Calibri" w:hAnsi="Arial" w:cs="Arial"/>
          <w:sz w:val="22"/>
        </w:rPr>
        <w:t xml:space="preserve"> may place title to that property into </w:t>
      </w:r>
      <w:r w:rsidR="001A1C22">
        <w:rPr>
          <w:rFonts w:ascii="Arial" w:eastAsia="Calibri" w:hAnsi="Arial" w:cs="Arial"/>
          <w:sz w:val="22"/>
        </w:rPr>
        <w:t xml:space="preserve">[the relative’s]                  </w:t>
      </w:r>
      <w:r w:rsidRPr="005320E8">
        <w:rPr>
          <w:rFonts w:ascii="Arial" w:eastAsia="Calibri" w:hAnsi="Arial" w:cs="Arial"/>
          <w:sz w:val="22"/>
        </w:rPr>
        <w:t xml:space="preserve">trust.   </w:t>
      </w:r>
    </w:p>
    <w:p w:rsidR="005320E8" w:rsidRPr="005320E8" w:rsidRDefault="005320E8" w:rsidP="005320E8">
      <w:pPr>
        <w:ind w:left="-2160"/>
        <w:jc w:val="both"/>
        <w:rPr>
          <w:rFonts w:ascii="Arial" w:eastAsia="Calibri" w:hAnsi="Arial" w:cs="Arial"/>
          <w:sz w:val="22"/>
        </w:rPr>
      </w:pPr>
    </w:p>
    <w:p w:rsidR="005320E8" w:rsidRPr="005320E8" w:rsidRDefault="005320E8" w:rsidP="005320E8">
      <w:pPr>
        <w:ind w:left="-2160"/>
        <w:jc w:val="both"/>
        <w:rPr>
          <w:rFonts w:ascii="Arial" w:eastAsia="Calibri" w:hAnsi="Arial" w:cs="Arial"/>
          <w:sz w:val="22"/>
        </w:rPr>
      </w:pPr>
      <w:r>
        <w:rPr>
          <w:rFonts w:ascii="Arial" w:eastAsia="Calibri" w:hAnsi="Arial" w:cs="Arial"/>
          <w:sz w:val="22"/>
        </w:rPr>
        <w:t>Here are my conclusions and advice:</w:t>
      </w:r>
    </w:p>
    <w:p w:rsidR="005320E8" w:rsidRPr="005320E8" w:rsidRDefault="005320E8" w:rsidP="005320E8">
      <w:pPr>
        <w:ind w:left="-2160"/>
        <w:jc w:val="both"/>
        <w:rPr>
          <w:rFonts w:ascii="Arial" w:eastAsia="Calibri" w:hAnsi="Arial" w:cs="Arial"/>
          <w:sz w:val="22"/>
        </w:rPr>
      </w:pPr>
    </w:p>
    <w:p w:rsidR="005320E8" w:rsidRPr="005320E8" w:rsidRDefault="005320E8" w:rsidP="005320E8">
      <w:pPr>
        <w:ind w:left="-2160"/>
        <w:jc w:val="both"/>
        <w:rPr>
          <w:rFonts w:ascii="Arial" w:eastAsia="Calibri" w:hAnsi="Arial" w:cs="Arial"/>
          <w:sz w:val="22"/>
        </w:rPr>
      </w:pPr>
      <w:r w:rsidRPr="005320E8">
        <w:rPr>
          <w:rFonts w:ascii="Arial" w:eastAsia="Calibri" w:hAnsi="Arial" w:cs="Arial"/>
          <w:sz w:val="22"/>
        </w:rPr>
        <w:t xml:space="preserve">1) Based upon the holdings of past Board advisory opinions, </w:t>
      </w:r>
      <w:r>
        <w:rPr>
          <w:rFonts w:ascii="Arial" w:eastAsia="Calibri" w:hAnsi="Arial" w:cs="Arial"/>
          <w:sz w:val="22"/>
        </w:rPr>
        <w:t xml:space="preserve">I conclude that </w:t>
      </w:r>
      <w:r w:rsidRPr="005320E8">
        <w:rPr>
          <w:rFonts w:ascii="Arial" w:eastAsia="Calibri" w:hAnsi="Arial" w:cs="Arial"/>
          <w:sz w:val="22"/>
        </w:rPr>
        <w:t xml:space="preserve">the Ordinance does not prohibit </w:t>
      </w:r>
      <w:r>
        <w:rPr>
          <w:rFonts w:ascii="Arial" w:eastAsia="Calibri" w:hAnsi="Arial" w:cs="Arial"/>
          <w:sz w:val="22"/>
        </w:rPr>
        <w:t>you</w:t>
      </w:r>
      <w:r w:rsidRPr="005320E8">
        <w:rPr>
          <w:rFonts w:ascii="Arial" w:eastAsia="Calibri" w:hAnsi="Arial" w:cs="Arial"/>
          <w:sz w:val="22"/>
        </w:rPr>
        <w:t xml:space="preserve"> from purchasing property at scavenger or other tax-delinquent </w:t>
      </w:r>
      <w:proofErr w:type="gramStart"/>
      <w:r w:rsidRPr="005320E8">
        <w:rPr>
          <w:rFonts w:ascii="Arial" w:eastAsia="Calibri" w:hAnsi="Arial" w:cs="Arial"/>
          <w:sz w:val="22"/>
        </w:rPr>
        <w:t>sales,</w:t>
      </w:r>
      <w:proofErr w:type="gramEnd"/>
      <w:r w:rsidRPr="005320E8">
        <w:rPr>
          <w:rFonts w:ascii="Arial" w:eastAsia="Calibri" w:hAnsi="Arial" w:cs="Arial"/>
          <w:sz w:val="22"/>
        </w:rPr>
        <w:t xml:space="preserve"> as such sales are conducted pursuant to public notice followed by competitive bidding. The relevant provision in the Ordinance is §2-156-110(c), which prohibits City employees and officials </w:t>
      </w:r>
      <w:r>
        <w:rPr>
          <w:rFonts w:ascii="Arial" w:eastAsia="Calibri" w:hAnsi="Arial" w:cs="Arial"/>
          <w:sz w:val="22"/>
        </w:rPr>
        <w:t xml:space="preserve">(like you) </w:t>
      </w:r>
      <w:r w:rsidRPr="005320E8">
        <w:rPr>
          <w:rFonts w:ascii="Arial" w:eastAsia="Calibri" w:hAnsi="Arial" w:cs="Arial"/>
          <w:sz w:val="22"/>
        </w:rPr>
        <w:t>from having a “financial interest” in the purchase of City-owned property, unless that property is sold pursuant to a process of public notice followed by competitive bidding (a “financial interest,</w:t>
      </w:r>
      <w:r>
        <w:rPr>
          <w:rFonts w:ascii="Arial" w:eastAsia="Calibri" w:hAnsi="Arial" w:cs="Arial"/>
          <w:sz w:val="22"/>
        </w:rPr>
        <w:t xml:space="preserve"> </w:t>
      </w:r>
      <w:r w:rsidRPr="005320E8">
        <w:rPr>
          <w:rFonts w:ascii="Arial" w:eastAsia="Calibri" w:hAnsi="Arial" w:cs="Arial"/>
          <w:sz w:val="22"/>
        </w:rPr>
        <w:t>defined in §</w:t>
      </w:r>
      <w:r>
        <w:rPr>
          <w:rFonts w:ascii="Arial" w:eastAsia="Calibri" w:hAnsi="Arial" w:cs="Arial"/>
          <w:sz w:val="22"/>
        </w:rPr>
        <w:t xml:space="preserve">2-156-010(l), </w:t>
      </w:r>
      <w:r w:rsidRPr="005320E8">
        <w:rPr>
          <w:rFonts w:ascii="Arial" w:eastAsia="Calibri" w:hAnsi="Arial" w:cs="Arial"/>
          <w:sz w:val="22"/>
        </w:rPr>
        <w:t>essentially means an ownership interest worth more than $1,000). The pertinent language states:</w:t>
      </w:r>
    </w:p>
    <w:p w:rsidR="005320E8" w:rsidRPr="005320E8" w:rsidRDefault="005320E8" w:rsidP="005320E8">
      <w:pPr>
        <w:ind w:left="-2160"/>
        <w:jc w:val="both"/>
        <w:rPr>
          <w:rFonts w:ascii="Arial" w:eastAsia="Calibri" w:hAnsi="Arial" w:cs="Arial"/>
          <w:sz w:val="22"/>
        </w:rPr>
      </w:pPr>
    </w:p>
    <w:p w:rsidR="005320E8" w:rsidRPr="005320E8" w:rsidRDefault="005320E8" w:rsidP="005320E8">
      <w:pPr>
        <w:ind w:left="-2160" w:right="432"/>
        <w:jc w:val="both"/>
        <w:rPr>
          <w:rFonts w:ascii="Arial" w:eastAsia="Calibri" w:hAnsi="Arial" w:cs="Arial"/>
          <w:sz w:val="22"/>
        </w:rPr>
      </w:pPr>
      <w:r w:rsidRPr="005320E8">
        <w:rPr>
          <w:rFonts w:ascii="Arial" w:eastAsia="Calibri" w:hAnsi="Arial" w:cs="Arial"/>
          <w:i/>
          <w:sz w:val="22"/>
        </w:rPr>
        <w:t>Unless sold pursuant to a process of competitive bidding following public notice</w:t>
      </w:r>
      <w:r w:rsidRPr="005320E8">
        <w:rPr>
          <w:rFonts w:ascii="Arial" w:eastAsia="Calibri" w:hAnsi="Arial" w:cs="Arial"/>
          <w:sz w:val="22"/>
        </w:rPr>
        <w:t xml:space="preserve">, no elected official or employee shall have a financial interest in the purchase of any property that: (i) belongs to the city; (ii) </w:t>
      </w:r>
      <w:r w:rsidRPr="005320E8">
        <w:rPr>
          <w:rFonts w:ascii="Arial" w:eastAsia="Calibri" w:hAnsi="Arial" w:cs="Arial"/>
          <w:i/>
          <w:sz w:val="22"/>
        </w:rPr>
        <w:t>is sold for taxes or assessments</w:t>
      </w:r>
      <w:r w:rsidRPr="005320E8">
        <w:rPr>
          <w:rFonts w:ascii="Arial" w:eastAsia="Calibri" w:hAnsi="Arial" w:cs="Arial"/>
          <w:sz w:val="22"/>
        </w:rPr>
        <w:t>…(emphasis supplied)</w:t>
      </w:r>
    </w:p>
    <w:p w:rsidR="005320E8" w:rsidRPr="005320E8" w:rsidRDefault="005320E8" w:rsidP="005320E8">
      <w:pPr>
        <w:ind w:left="-2160" w:right="432"/>
        <w:jc w:val="both"/>
        <w:rPr>
          <w:rFonts w:ascii="Arial" w:eastAsia="Calibri" w:hAnsi="Arial" w:cs="Arial"/>
          <w:sz w:val="22"/>
        </w:rPr>
      </w:pPr>
    </w:p>
    <w:p w:rsidR="005320E8" w:rsidRPr="005320E8" w:rsidRDefault="005320E8" w:rsidP="005320E8">
      <w:pPr>
        <w:ind w:left="-2160"/>
        <w:jc w:val="both"/>
        <w:rPr>
          <w:rFonts w:ascii="Arial" w:eastAsia="Calibri" w:hAnsi="Arial" w:cs="Arial"/>
          <w:sz w:val="22"/>
        </w:rPr>
      </w:pPr>
      <w:r w:rsidRPr="005320E8">
        <w:rPr>
          <w:rFonts w:ascii="Arial" w:eastAsia="Calibri" w:hAnsi="Arial" w:cs="Arial"/>
          <w:sz w:val="22"/>
        </w:rPr>
        <w:t xml:space="preserve">Accordingly, unless a City employee or official, such as </w:t>
      </w:r>
      <w:r>
        <w:rPr>
          <w:rFonts w:ascii="Arial" w:eastAsia="Calibri" w:hAnsi="Arial" w:cs="Arial"/>
          <w:sz w:val="22"/>
        </w:rPr>
        <w:t>you</w:t>
      </w:r>
      <w:r w:rsidRPr="005320E8">
        <w:rPr>
          <w:rFonts w:ascii="Arial" w:eastAsia="Calibri" w:hAnsi="Arial" w:cs="Arial"/>
          <w:sz w:val="22"/>
        </w:rPr>
        <w:t xml:space="preserve">, were in compliance with §2-156-110(c) of the Ordinance, he or she could not participate in a scavenger or other tax or assessment sale. The Board has previously addressed scavenger sales in two formal opinions: Case Nos. 87072.A, and 95023.A. In each, the Board approved a City employee’s and official’s purchase of real estate at a scavenger sale. The reason is that, in the case of scavenger (or tax or assessment) sales, the </w:t>
      </w:r>
      <w:r>
        <w:rPr>
          <w:rFonts w:ascii="Arial" w:eastAsia="Calibri" w:hAnsi="Arial" w:cs="Arial"/>
          <w:sz w:val="22"/>
        </w:rPr>
        <w:t>governing S</w:t>
      </w:r>
      <w:r w:rsidRPr="005320E8">
        <w:rPr>
          <w:rFonts w:ascii="Arial" w:eastAsia="Calibri" w:hAnsi="Arial" w:cs="Arial"/>
          <w:sz w:val="22"/>
        </w:rPr>
        <w:t>tate law specifically provide</w:t>
      </w:r>
      <w:r>
        <w:rPr>
          <w:rFonts w:ascii="Arial" w:eastAsia="Calibri" w:hAnsi="Arial" w:cs="Arial"/>
          <w:sz w:val="22"/>
        </w:rPr>
        <w:t>s</w:t>
      </w:r>
      <w:r w:rsidRPr="005320E8">
        <w:rPr>
          <w:rFonts w:ascii="Arial" w:eastAsia="Calibri" w:hAnsi="Arial" w:cs="Arial"/>
          <w:sz w:val="22"/>
        </w:rPr>
        <w:t xml:space="preserve"> for open public sale only after mandated public advertising of property being sold for delinquent taxes. Therefore, by and because of operation of law (in the case of scavenger sales), </w:t>
      </w:r>
      <w:r>
        <w:rPr>
          <w:rFonts w:ascii="Arial" w:eastAsia="Calibri" w:hAnsi="Arial" w:cs="Arial"/>
          <w:sz w:val="22"/>
        </w:rPr>
        <w:t>the</w:t>
      </w:r>
      <w:r w:rsidRPr="005320E8">
        <w:rPr>
          <w:rFonts w:ascii="Arial" w:eastAsia="Calibri" w:hAnsi="Arial" w:cs="Arial"/>
          <w:sz w:val="22"/>
        </w:rPr>
        <w:t xml:space="preserve"> City employee </w:t>
      </w:r>
      <w:r>
        <w:rPr>
          <w:rFonts w:ascii="Arial" w:eastAsia="Calibri" w:hAnsi="Arial" w:cs="Arial"/>
          <w:sz w:val="22"/>
        </w:rPr>
        <w:t xml:space="preserve">or official </w:t>
      </w:r>
      <w:r w:rsidRPr="005320E8">
        <w:rPr>
          <w:rFonts w:ascii="Arial" w:eastAsia="Calibri" w:hAnsi="Arial" w:cs="Arial"/>
          <w:sz w:val="22"/>
        </w:rPr>
        <w:t xml:space="preserve">was not prohibited from taking advantage of the Ordinance’s exception to the prohibition on having a financial interest in purchasing City property or property sold for delinquent taxes. This, in turn, was so because the case(s) disclose that State law </w:t>
      </w:r>
      <w:r w:rsidRPr="005320E8">
        <w:rPr>
          <w:rFonts w:ascii="Arial" w:eastAsia="Calibri" w:hAnsi="Arial" w:cs="Arial"/>
          <w:i/>
          <w:sz w:val="22"/>
        </w:rPr>
        <w:t>mandated</w:t>
      </w:r>
      <w:r w:rsidRPr="005320E8">
        <w:rPr>
          <w:rFonts w:ascii="Arial" w:eastAsia="Calibri" w:hAnsi="Arial" w:cs="Arial"/>
          <w:sz w:val="22"/>
        </w:rPr>
        <w:t xml:space="preserve"> public notice followed by competitive sale to the public.  That State law has not changed.  Note also that, in Case No. 95023.A, the Board reminded the City official that he was prohibited from using any confidential or non-public information in pursuing the purchase of tax-delinquent or scavenger sale properties, pursuant to §2-156-070, and thus </w:t>
      </w:r>
      <w:r>
        <w:rPr>
          <w:rFonts w:ascii="Arial" w:eastAsia="Calibri" w:hAnsi="Arial" w:cs="Arial"/>
          <w:sz w:val="22"/>
        </w:rPr>
        <w:t>we so advise</w:t>
      </w:r>
      <w:r w:rsidRPr="005320E8">
        <w:rPr>
          <w:rFonts w:ascii="Arial" w:eastAsia="Calibri" w:hAnsi="Arial" w:cs="Arial"/>
          <w:sz w:val="22"/>
        </w:rPr>
        <w:t xml:space="preserve"> </w:t>
      </w:r>
      <w:r>
        <w:rPr>
          <w:rFonts w:ascii="Arial" w:eastAsia="Calibri" w:hAnsi="Arial" w:cs="Arial"/>
          <w:sz w:val="22"/>
        </w:rPr>
        <w:t>you</w:t>
      </w:r>
      <w:r w:rsidRPr="005320E8">
        <w:rPr>
          <w:rFonts w:ascii="Arial" w:eastAsia="Calibri" w:hAnsi="Arial" w:cs="Arial"/>
          <w:sz w:val="22"/>
        </w:rPr>
        <w:t>; and</w:t>
      </w:r>
    </w:p>
    <w:p w:rsidR="005320E8" w:rsidRPr="005320E8" w:rsidRDefault="005320E8" w:rsidP="005320E8">
      <w:pPr>
        <w:ind w:left="-2160"/>
        <w:jc w:val="both"/>
        <w:rPr>
          <w:rFonts w:ascii="Arial" w:eastAsia="Calibri" w:hAnsi="Arial" w:cs="Arial"/>
          <w:sz w:val="22"/>
        </w:rPr>
      </w:pPr>
    </w:p>
    <w:p w:rsidR="005320E8" w:rsidRPr="005320E8" w:rsidRDefault="005320E8" w:rsidP="005320E8">
      <w:pPr>
        <w:ind w:left="-2160"/>
        <w:jc w:val="both"/>
        <w:rPr>
          <w:rFonts w:ascii="Arial" w:eastAsia="Calibri" w:hAnsi="Arial" w:cs="Arial"/>
          <w:sz w:val="22"/>
        </w:rPr>
      </w:pPr>
      <w:r w:rsidRPr="005320E8">
        <w:rPr>
          <w:rFonts w:ascii="Arial" w:eastAsia="Calibri" w:hAnsi="Arial" w:cs="Arial"/>
          <w:sz w:val="22"/>
        </w:rPr>
        <w:t xml:space="preserve">2) Given that </w:t>
      </w:r>
      <w:r>
        <w:rPr>
          <w:rFonts w:ascii="Arial" w:eastAsia="Calibri" w:hAnsi="Arial" w:cs="Arial"/>
          <w:sz w:val="22"/>
        </w:rPr>
        <w:t>you are an</w:t>
      </w:r>
      <w:r w:rsidRPr="005320E8">
        <w:rPr>
          <w:rFonts w:ascii="Arial" w:eastAsia="Calibri" w:hAnsi="Arial" w:cs="Arial"/>
          <w:sz w:val="22"/>
        </w:rPr>
        <w:t xml:space="preserve"> alderman, </w:t>
      </w:r>
      <w:r>
        <w:rPr>
          <w:rFonts w:ascii="Arial" w:eastAsia="Calibri" w:hAnsi="Arial" w:cs="Arial"/>
          <w:sz w:val="22"/>
        </w:rPr>
        <w:t>your</w:t>
      </w:r>
      <w:r w:rsidRPr="005320E8">
        <w:rPr>
          <w:rFonts w:ascii="Arial" w:eastAsia="Calibri" w:hAnsi="Arial" w:cs="Arial"/>
          <w:sz w:val="22"/>
        </w:rPr>
        <w:t xml:space="preserve"> purchase of the scavenger or other tax-delinquent property may be subject to or limited by various laws of the State of Illinois</w:t>
      </w:r>
      <w:r>
        <w:rPr>
          <w:rFonts w:ascii="Arial" w:eastAsia="Calibri" w:hAnsi="Arial" w:cs="Arial"/>
          <w:sz w:val="22"/>
        </w:rPr>
        <w:t xml:space="preserve">.  Thus, I advise you to </w:t>
      </w:r>
      <w:r w:rsidRPr="005320E8">
        <w:rPr>
          <w:rFonts w:ascii="Arial" w:eastAsia="Calibri" w:hAnsi="Arial" w:cs="Arial"/>
          <w:sz w:val="22"/>
        </w:rPr>
        <w:t xml:space="preserve">consult with private counsel to ensure that </w:t>
      </w:r>
      <w:r>
        <w:rPr>
          <w:rFonts w:ascii="Arial" w:eastAsia="Calibri" w:hAnsi="Arial" w:cs="Arial"/>
          <w:sz w:val="22"/>
        </w:rPr>
        <w:t>you</w:t>
      </w:r>
      <w:r w:rsidRPr="005320E8">
        <w:rPr>
          <w:rFonts w:ascii="Arial" w:eastAsia="Calibri" w:hAnsi="Arial" w:cs="Arial"/>
          <w:sz w:val="22"/>
        </w:rPr>
        <w:t xml:space="preserve"> compl</w:t>
      </w:r>
      <w:r>
        <w:rPr>
          <w:rFonts w:ascii="Arial" w:eastAsia="Calibri" w:hAnsi="Arial" w:cs="Arial"/>
          <w:sz w:val="22"/>
        </w:rPr>
        <w:t>y</w:t>
      </w:r>
      <w:r w:rsidRPr="005320E8">
        <w:rPr>
          <w:rFonts w:ascii="Arial" w:eastAsia="Calibri" w:hAnsi="Arial" w:cs="Arial"/>
          <w:sz w:val="22"/>
        </w:rPr>
        <w:t xml:space="preserve"> with any relevant State laws;</w:t>
      </w:r>
      <w:r w:rsidRPr="005320E8">
        <w:rPr>
          <w:rFonts w:ascii="Arial" w:eastAsia="Calibri" w:hAnsi="Arial" w:cs="Arial"/>
          <w:sz w:val="22"/>
          <w:vertAlign w:val="superscript"/>
        </w:rPr>
        <w:footnoteReference w:id="2"/>
      </w:r>
      <w:r w:rsidRPr="005320E8">
        <w:rPr>
          <w:rFonts w:ascii="Arial" w:eastAsia="Calibri" w:hAnsi="Arial" w:cs="Arial"/>
          <w:sz w:val="22"/>
        </w:rPr>
        <w:t xml:space="preserve"> and</w:t>
      </w:r>
    </w:p>
    <w:p w:rsidR="005320E8" w:rsidRPr="005320E8" w:rsidRDefault="005320E8" w:rsidP="005320E8">
      <w:pPr>
        <w:ind w:left="-2160"/>
        <w:jc w:val="both"/>
        <w:rPr>
          <w:rFonts w:ascii="Arial" w:eastAsia="Calibri" w:hAnsi="Arial" w:cs="Arial"/>
          <w:sz w:val="22"/>
        </w:rPr>
      </w:pPr>
    </w:p>
    <w:p w:rsidR="005320E8" w:rsidRDefault="005320E8" w:rsidP="005320E8">
      <w:pPr>
        <w:ind w:left="-2160"/>
        <w:jc w:val="both"/>
        <w:rPr>
          <w:rFonts w:ascii="Arial" w:eastAsia="Calibri" w:hAnsi="Arial" w:cs="Arial"/>
          <w:sz w:val="22"/>
        </w:rPr>
      </w:pPr>
      <w:r w:rsidRPr="005320E8">
        <w:rPr>
          <w:rFonts w:ascii="Arial" w:eastAsia="Calibri" w:hAnsi="Arial" w:cs="Arial"/>
          <w:sz w:val="22"/>
        </w:rPr>
        <w:t xml:space="preserve">3) The question of whether </w:t>
      </w:r>
      <w:r>
        <w:rPr>
          <w:rFonts w:ascii="Arial" w:eastAsia="Calibri" w:hAnsi="Arial" w:cs="Arial"/>
          <w:sz w:val="22"/>
        </w:rPr>
        <w:t>you</w:t>
      </w:r>
      <w:r w:rsidRPr="005320E8">
        <w:rPr>
          <w:rFonts w:ascii="Arial" w:eastAsia="Calibri" w:hAnsi="Arial" w:cs="Arial"/>
          <w:sz w:val="22"/>
        </w:rPr>
        <w:t xml:space="preserve"> could put any property into </w:t>
      </w:r>
      <w:r>
        <w:rPr>
          <w:rFonts w:ascii="Arial" w:eastAsia="Calibri" w:hAnsi="Arial" w:cs="Arial"/>
          <w:sz w:val="22"/>
        </w:rPr>
        <w:t>your</w:t>
      </w:r>
      <w:r w:rsidRPr="005320E8">
        <w:rPr>
          <w:rFonts w:ascii="Arial" w:eastAsia="Calibri" w:hAnsi="Arial" w:cs="Arial"/>
          <w:sz w:val="22"/>
        </w:rPr>
        <w:t xml:space="preserve"> </w:t>
      </w:r>
      <w:r w:rsidR="001A1C22">
        <w:rPr>
          <w:rFonts w:ascii="Arial" w:eastAsia="Calibri" w:hAnsi="Arial" w:cs="Arial"/>
          <w:sz w:val="22"/>
        </w:rPr>
        <w:t>[relative’s]</w:t>
      </w:r>
      <w:r w:rsidRPr="005320E8">
        <w:rPr>
          <w:rFonts w:ascii="Arial" w:eastAsia="Calibri" w:hAnsi="Arial" w:cs="Arial"/>
          <w:sz w:val="22"/>
        </w:rPr>
        <w:t xml:space="preserve"> trust does not fall within the purview of the Ordinance, and thus we </w:t>
      </w:r>
      <w:r>
        <w:rPr>
          <w:rFonts w:ascii="Arial" w:eastAsia="Calibri" w:hAnsi="Arial" w:cs="Arial"/>
          <w:sz w:val="22"/>
        </w:rPr>
        <w:t>cannot a</w:t>
      </w:r>
      <w:r w:rsidRPr="005320E8">
        <w:rPr>
          <w:rFonts w:ascii="Arial" w:eastAsia="Calibri" w:hAnsi="Arial" w:cs="Arial"/>
          <w:sz w:val="22"/>
        </w:rPr>
        <w:t xml:space="preserve">dvise </w:t>
      </w:r>
      <w:r>
        <w:rPr>
          <w:rFonts w:ascii="Arial" w:eastAsia="Calibri" w:hAnsi="Arial" w:cs="Arial"/>
          <w:sz w:val="22"/>
        </w:rPr>
        <w:t>you</w:t>
      </w:r>
      <w:r w:rsidRPr="005320E8">
        <w:rPr>
          <w:rFonts w:ascii="Arial" w:eastAsia="Calibri" w:hAnsi="Arial" w:cs="Arial"/>
          <w:sz w:val="22"/>
        </w:rPr>
        <w:t xml:space="preserve"> on that question. </w:t>
      </w:r>
      <w:r>
        <w:rPr>
          <w:rFonts w:ascii="Arial" w:eastAsia="Calibri" w:hAnsi="Arial" w:cs="Arial"/>
          <w:sz w:val="22"/>
        </w:rPr>
        <w:t xml:space="preserve">You are advised </w:t>
      </w:r>
      <w:r w:rsidRPr="005320E8">
        <w:rPr>
          <w:rFonts w:ascii="Arial" w:eastAsia="Calibri" w:hAnsi="Arial" w:cs="Arial"/>
          <w:sz w:val="22"/>
        </w:rPr>
        <w:t xml:space="preserve">to seek the advice of </w:t>
      </w:r>
      <w:r>
        <w:rPr>
          <w:rFonts w:ascii="Arial" w:eastAsia="Calibri" w:hAnsi="Arial" w:cs="Arial"/>
          <w:sz w:val="22"/>
        </w:rPr>
        <w:t>your</w:t>
      </w:r>
      <w:r w:rsidRPr="005320E8">
        <w:rPr>
          <w:rFonts w:ascii="Arial" w:eastAsia="Calibri" w:hAnsi="Arial" w:cs="Arial"/>
          <w:sz w:val="22"/>
        </w:rPr>
        <w:t xml:space="preserve"> estate planning attorney on that matter.</w:t>
      </w:r>
    </w:p>
    <w:p w:rsidR="005320E8" w:rsidRDefault="005320E8" w:rsidP="005320E8">
      <w:pPr>
        <w:ind w:left="-2160"/>
        <w:jc w:val="both"/>
        <w:rPr>
          <w:rFonts w:ascii="Arial" w:eastAsia="Calibri" w:hAnsi="Arial" w:cs="Arial"/>
          <w:sz w:val="22"/>
        </w:rPr>
      </w:pPr>
    </w:p>
    <w:p w:rsidR="005320E8" w:rsidRDefault="001C64C3" w:rsidP="005320E8">
      <w:pPr>
        <w:ind w:left="-2160"/>
        <w:jc w:val="both"/>
        <w:rPr>
          <w:rFonts w:ascii="Arial" w:hAnsi="Arial" w:cs="Arial"/>
          <w:color w:val="000000"/>
          <w:sz w:val="22"/>
        </w:rPr>
      </w:pPr>
      <w:r w:rsidRPr="001C64C3">
        <w:rPr>
          <w:rFonts w:ascii="Arial" w:hAnsi="Arial" w:cs="Arial"/>
          <w:color w:val="000000"/>
          <w:sz w:val="22"/>
        </w:rPr>
        <w:t>This</w:t>
      </w:r>
      <w:r>
        <w:rPr>
          <w:rFonts w:ascii="Arial" w:hAnsi="Arial" w:cs="Arial"/>
          <w:color w:val="000000"/>
          <w:sz w:val="22"/>
        </w:rPr>
        <w:t xml:space="preserve"> conclusions and advice in this</w:t>
      </w:r>
      <w:r w:rsidRPr="001C64C3">
        <w:rPr>
          <w:rFonts w:ascii="Arial" w:hAnsi="Arial" w:cs="Arial"/>
          <w:color w:val="000000"/>
          <w:sz w:val="22"/>
        </w:rPr>
        <w:t xml:space="preserve"> letter</w:t>
      </w:r>
      <w:r>
        <w:rPr>
          <w:rFonts w:ascii="Arial" w:hAnsi="Arial" w:cs="Arial"/>
          <w:color w:val="000000"/>
          <w:sz w:val="22"/>
        </w:rPr>
        <w:t xml:space="preserve"> are based on the facts presented in it, and</w:t>
      </w:r>
      <w:r w:rsidRPr="001C64C3">
        <w:rPr>
          <w:rFonts w:ascii="Arial" w:hAnsi="Arial" w:cs="Arial"/>
          <w:color w:val="000000"/>
          <w:sz w:val="22"/>
        </w:rPr>
        <w:t xml:space="preserve"> address only the provisions of the City’s Governmental Ethics Ordinance.  </w:t>
      </w:r>
      <w:r>
        <w:rPr>
          <w:rFonts w:ascii="Arial" w:hAnsi="Arial" w:cs="Arial"/>
          <w:color w:val="000000"/>
          <w:sz w:val="22"/>
        </w:rPr>
        <w:t>If those facts are incorrect or change, that may alter these conclusions and advice.  I also advise you that t</w:t>
      </w:r>
      <w:r w:rsidRPr="001C64C3">
        <w:rPr>
          <w:rFonts w:ascii="Arial" w:hAnsi="Arial" w:cs="Arial"/>
          <w:color w:val="000000"/>
          <w:sz w:val="22"/>
        </w:rPr>
        <w:t>here may be other laws or policies that apply, and you are advised to seek qualified legal counsel as to their applicability.</w:t>
      </w:r>
    </w:p>
    <w:p w:rsidR="001C64C3" w:rsidRDefault="001C64C3" w:rsidP="005320E8">
      <w:pPr>
        <w:ind w:left="-2160"/>
        <w:jc w:val="both"/>
        <w:rPr>
          <w:rFonts w:ascii="Arial" w:hAnsi="Arial" w:cs="Arial"/>
          <w:color w:val="000000"/>
          <w:sz w:val="22"/>
        </w:rPr>
      </w:pPr>
    </w:p>
    <w:p w:rsidR="001C64C3" w:rsidRDefault="001C64C3" w:rsidP="005320E8">
      <w:pPr>
        <w:ind w:left="-2160"/>
        <w:jc w:val="both"/>
        <w:rPr>
          <w:rFonts w:ascii="Arial" w:hAnsi="Arial" w:cs="Arial"/>
          <w:color w:val="000000"/>
          <w:sz w:val="22"/>
        </w:rPr>
      </w:pPr>
      <w:r>
        <w:rPr>
          <w:rFonts w:ascii="Arial" w:hAnsi="Arial" w:cs="Arial"/>
          <w:color w:val="000000"/>
          <w:sz w:val="22"/>
        </w:rPr>
        <w:t>I appreciate your conscientiousness, as always, and wish you and your family all the best this holiday season.  Please contact me with any questions about this matter.</w:t>
      </w:r>
    </w:p>
    <w:p w:rsidR="001C64C3" w:rsidRDefault="001C64C3" w:rsidP="005320E8">
      <w:pPr>
        <w:ind w:left="-2160"/>
        <w:jc w:val="both"/>
        <w:rPr>
          <w:rFonts w:ascii="Arial" w:hAnsi="Arial" w:cs="Arial"/>
          <w:color w:val="000000"/>
          <w:sz w:val="22"/>
        </w:rPr>
      </w:pPr>
    </w:p>
    <w:p w:rsidR="001C64C3" w:rsidRDefault="001C64C3" w:rsidP="005320E8">
      <w:pPr>
        <w:ind w:left="-2160"/>
        <w:jc w:val="both"/>
        <w:rPr>
          <w:rFonts w:ascii="Arial" w:hAnsi="Arial" w:cs="Arial"/>
          <w:color w:val="000000"/>
          <w:sz w:val="22"/>
        </w:rPr>
      </w:pPr>
      <w:r>
        <w:rPr>
          <w:rFonts w:ascii="Arial" w:hAnsi="Arial" w:cs="Arial"/>
          <w:color w:val="000000"/>
          <w:sz w:val="22"/>
        </w:rPr>
        <w:t>Yours very truly,</w:t>
      </w:r>
    </w:p>
    <w:p w:rsidR="001C64C3" w:rsidRDefault="001C64C3" w:rsidP="005320E8">
      <w:pPr>
        <w:ind w:left="-2160"/>
        <w:jc w:val="both"/>
        <w:rPr>
          <w:rFonts w:ascii="Arial" w:hAnsi="Arial" w:cs="Arial"/>
          <w:color w:val="000000"/>
          <w:sz w:val="22"/>
        </w:rPr>
      </w:pPr>
    </w:p>
    <w:p w:rsidR="001C64C3" w:rsidRDefault="001C64C3" w:rsidP="005320E8">
      <w:pPr>
        <w:ind w:left="-2160"/>
        <w:jc w:val="both"/>
        <w:rPr>
          <w:rFonts w:ascii="Arial" w:hAnsi="Arial" w:cs="Arial"/>
          <w:color w:val="000000"/>
          <w:sz w:val="22"/>
        </w:rPr>
      </w:pPr>
    </w:p>
    <w:p w:rsidR="001C64C3" w:rsidRDefault="001C64C3" w:rsidP="005320E8">
      <w:pPr>
        <w:ind w:left="-2160"/>
        <w:jc w:val="both"/>
        <w:rPr>
          <w:rFonts w:ascii="Arial" w:hAnsi="Arial" w:cs="Arial"/>
          <w:color w:val="000000"/>
          <w:sz w:val="22"/>
        </w:rPr>
      </w:pPr>
    </w:p>
    <w:p w:rsidR="00BD4916" w:rsidRDefault="001C64C3" w:rsidP="005320E8">
      <w:pPr>
        <w:ind w:left="-2160"/>
        <w:jc w:val="both"/>
        <w:rPr>
          <w:rFonts w:ascii="Arial" w:hAnsi="Arial" w:cs="Arial"/>
          <w:color w:val="000000"/>
          <w:sz w:val="22"/>
        </w:rPr>
      </w:pPr>
      <w:r>
        <w:rPr>
          <w:rFonts w:ascii="Arial" w:hAnsi="Arial" w:cs="Arial"/>
          <w:color w:val="000000"/>
          <w:sz w:val="22"/>
        </w:rPr>
        <w:t xml:space="preserve">Steven I. Berlin, </w:t>
      </w:r>
    </w:p>
    <w:p w:rsidR="001C64C3" w:rsidRPr="005320E8" w:rsidRDefault="001C64C3" w:rsidP="005320E8">
      <w:pPr>
        <w:ind w:left="-2160"/>
        <w:jc w:val="both"/>
        <w:rPr>
          <w:rFonts w:ascii="Arial" w:hAnsi="Arial" w:cs="Arial"/>
          <w:color w:val="000000"/>
          <w:sz w:val="22"/>
        </w:rPr>
      </w:pPr>
      <w:r>
        <w:rPr>
          <w:rFonts w:ascii="Arial" w:hAnsi="Arial" w:cs="Arial"/>
          <w:color w:val="000000"/>
          <w:sz w:val="22"/>
        </w:rPr>
        <w:t>Executive Director</w:t>
      </w:r>
    </w:p>
    <w:p w:rsidR="00991E44" w:rsidRPr="005320E8" w:rsidRDefault="00991E44" w:rsidP="005320E8"/>
    <w:sectPr w:rsidR="00991E44" w:rsidRPr="005320E8" w:rsidSect="007E6363">
      <w:pgSz w:w="12240" w:h="15840"/>
      <w:pgMar w:top="1440" w:right="1440" w:bottom="1440" w:left="345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44" w:rsidRDefault="00DA6644" w:rsidP="005320E8">
      <w:r>
        <w:separator/>
      </w:r>
    </w:p>
  </w:endnote>
  <w:endnote w:type="continuationSeparator" w:id="0">
    <w:p w:rsidR="00DA6644" w:rsidRDefault="00DA6644" w:rsidP="0053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44" w:rsidRDefault="00DA6644" w:rsidP="005320E8">
      <w:r>
        <w:separator/>
      </w:r>
    </w:p>
  </w:footnote>
  <w:footnote w:type="continuationSeparator" w:id="0">
    <w:p w:rsidR="00DA6644" w:rsidRDefault="00DA6644" w:rsidP="005320E8">
      <w:r>
        <w:continuationSeparator/>
      </w:r>
    </w:p>
  </w:footnote>
  <w:footnote w:id="1">
    <w:p w:rsidR="005320E8" w:rsidRDefault="005320E8" w:rsidP="005320E8">
      <w:pPr>
        <w:pStyle w:val="FootnoteText"/>
        <w:ind w:left="-2160"/>
        <w:jc w:val="both"/>
        <w:rPr>
          <w:rFonts w:ascii="Arial" w:hAnsi="Arial" w:cs="Arial"/>
          <w:sz w:val="16"/>
          <w:szCs w:val="16"/>
        </w:rPr>
      </w:pPr>
      <w:r w:rsidRPr="008210E4">
        <w:rPr>
          <w:rStyle w:val="FootnoteReference"/>
          <w:rFonts w:ascii="Arial" w:hAnsi="Arial" w:cs="Arial"/>
        </w:rPr>
        <w:footnoteRef/>
      </w:r>
      <w:r w:rsidRPr="008210E4">
        <w:rPr>
          <w:rFonts w:ascii="Arial" w:hAnsi="Arial" w:cs="Arial"/>
        </w:rPr>
        <w:t xml:space="preserve"> </w:t>
      </w:r>
      <w:r w:rsidRPr="008210E4">
        <w:rPr>
          <w:rFonts w:ascii="Arial" w:hAnsi="Arial" w:cs="Arial"/>
          <w:i/>
          <w:sz w:val="16"/>
          <w:szCs w:val="16"/>
        </w:rPr>
        <w:t xml:space="preserve">See </w:t>
      </w:r>
      <w:r w:rsidRPr="008210E4">
        <w:rPr>
          <w:rFonts w:ascii="Arial" w:hAnsi="Arial" w:cs="Arial"/>
          <w:sz w:val="16"/>
          <w:szCs w:val="16"/>
        </w:rPr>
        <w:t>“tax sale,” “A sale of property because of nonpayment of taxes.” Black’s Law Dictionary, 8</w:t>
      </w:r>
      <w:r w:rsidRPr="008210E4">
        <w:rPr>
          <w:rFonts w:ascii="Arial" w:hAnsi="Arial" w:cs="Arial"/>
          <w:sz w:val="16"/>
          <w:szCs w:val="16"/>
          <w:vertAlign w:val="superscript"/>
        </w:rPr>
        <w:t>th</w:t>
      </w:r>
      <w:r w:rsidRPr="008210E4">
        <w:rPr>
          <w:rFonts w:ascii="Arial" w:hAnsi="Arial" w:cs="Arial"/>
          <w:sz w:val="16"/>
          <w:szCs w:val="16"/>
        </w:rPr>
        <w:t xml:space="preserve"> ed. p. 1366; </w:t>
      </w:r>
      <w:r w:rsidRPr="00AD2638">
        <w:rPr>
          <w:rFonts w:ascii="Arial" w:hAnsi="Arial" w:cs="Arial"/>
          <w:sz w:val="16"/>
          <w:szCs w:val="16"/>
        </w:rPr>
        <w:t>and</w:t>
      </w:r>
      <w:r w:rsidRPr="008210E4">
        <w:rPr>
          <w:rFonts w:ascii="Arial" w:hAnsi="Arial" w:cs="Arial"/>
          <w:i/>
          <w:sz w:val="16"/>
          <w:szCs w:val="16"/>
        </w:rPr>
        <w:t xml:space="preserve"> </w:t>
      </w:r>
      <w:proofErr w:type="gramStart"/>
      <w:r w:rsidRPr="008210E4">
        <w:rPr>
          <w:rFonts w:ascii="Arial" w:hAnsi="Arial" w:cs="Arial"/>
          <w:i/>
          <w:sz w:val="16"/>
          <w:szCs w:val="16"/>
        </w:rPr>
        <w:t>see</w:t>
      </w:r>
      <w:proofErr w:type="gramEnd"/>
      <w:r w:rsidRPr="008210E4">
        <w:rPr>
          <w:rFonts w:ascii="Arial" w:hAnsi="Arial" w:cs="Arial"/>
          <w:sz w:val="16"/>
          <w:szCs w:val="16"/>
        </w:rPr>
        <w:t xml:space="preserve"> fn. 2, </w:t>
      </w:r>
      <w:r>
        <w:rPr>
          <w:rFonts w:ascii="Arial" w:hAnsi="Arial" w:cs="Arial"/>
          <w:sz w:val="16"/>
          <w:szCs w:val="16"/>
        </w:rPr>
        <w:t>below</w:t>
      </w:r>
      <w:r w:rsidRPr="008210E4">
        <w:rPr>
          <w:rFonts w:ascii="Arial" w:hAnsi="Arial" w:cs="Arial"/>
          <w:sz w:val="16"/>
          <w:szCs w:val="16"/>
        </w:rPr>
        <w:t>.</w:t>
      </w:r>
    </w:p>
    <w:p w:rsidR="005320E8" w:rsidRPr="008210E4" w:rsidRDefault="005320E8" w:rsidP="005320E8">
      <w:pPr>
        <w:pStyle w:val="FootnoteText"/>
        <w:jc w:val="both"/>
        <w:rPr>
          <w:rFonts w:ascii="Arial" w:hAnsi="Arial" w:cs="Arial"/>
          <w:sz w:val="16"/>
          <w:szCs w:val="16"/>
        </w:rPr>
      </w:pPr>
      <w:r w:rsidRPr="008210E4">
        <w:rPr>
          <w:rFonts w:ascii="Arial" w:hAnsi="Arial" w:cs="Arial"/>
          <w:i/>
          <w:sz w:val="16"/>
          <w:szCs w:val="16"/>
        </w:rPr>
        <w:t xml:space="preserve"> </w:t>
      </w:r>
    </w:p>
  </w:footnote>
  <w:footnote w:id="2">
    <w:p w:rsidR="005320E8" w:rsidRPr="003B5BAA" w:rsidRDefault="005320E8" w:rsidP="005320E8">
      <w:pPr>
        <w:pStyle w:val="FootnoteText"/>
        <w:ind w:left="-2160"/>
        <w:jc w:val="both"/>
        <w:rPr>
          <w:sz w:val="16"/>
          <w:szCs w:val="16"/>
        </w:rPr>
      </w:pPr>
      <w:r w:rsidRPr="008210E4">
        <w:rPr>
          <w:rStyle w:val="FootnoteReference"/>
          <w:rFonts w:ascii="Arial" w:hAnsi="Arial" w:cs="Arial"/>
        </w:rPr>
        <w:footnoteRef/>
      </w:r>
      <w:r w:rsidRPr="008210E4">
        <w:rPr>
          <w:rFonts w:ascii="Arial" w:hAnsi="Arial" w:cs="Arial"/>
        </w:rPr>
        <w:t xml:space="preserve"> </w:t>
      </w:r>
      <w:r w:rsidRPr="008210E4">
        <w:rPr>
          <w:rFonts w:ascii="Arial" w:hAnsi="Arial" w:cs="Arial"/>
          <w:i/>
          <w:sz w:val="16"/>
          <w:szCs w:val="16"/>
        </w:rPr>
        <w:t>See, e.g., generally,</w:t>
      </w:r>
      <w:r w:rsidRPr="008210E4">
        <w:rPr>
          <w:rFonts w:ascii="Arial" w:hAnsi="Arial" w:cs="Arial"/>
          <w:i/>
        </w:rPr>
        <w:t xml:space="preserve"> </w:t>
      </w:r>
      <w:r w:rsidRPr="008210E4">
        <w:rPr>
          <w:rFonts w:ascii="Arial" w:hAnsi="Arial" w:cs="Arial"/>
          <w:sz w:val="16"/>
          <w:szCs w:val="16"/>
        </w:rPr>
        <w:t>35 ILCS 200/21-110, -115, -120 and 145 (“Property Tax Code”), providing for the mandatory annual publication and advertisement by the County Collector of property (showing delinquent taxes) for the purpose of conducting “scavenger sales,” listing property upon which the Collector would apply [to the courts]  for a judgment and, thereafter, sell those properties to the public.</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E8"/>
    <w:rsid w:val="000742DC"/>
    <w:rsid w:val="001A1C22"/>
    <w:rsid w:val="001C64C3"/>
    <w:rsid w:val="00242CA1"/>
    <w:rsid w:val="0032434C"/>
    <w:rsid w:val="005320E8"/>
    <w:rsid w:val="006D4EC5"/>
    <w:rsid w:val="00991E44"/>
    <w:rsid w:val="009D1434"/>
    <w:rsid w:val="00B96843"/>
    <w:rsid w:val="00BD4916"/>
    <w:rsid w:val="00D67140"/>
    <w:rsid w:val="00DA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5320E8"/>
    <w:rPr>
      <w:sz w:val="20"/>
      <w:szCs w:val="20"/>
    </w:rPr>
  </w:style>
  <w:style w:type="character" w:customStyle="1" w:styleId="FootnoteTextChar">
    <w:name w:val="Footnote Text Char"/>
    <w:basedOn w:val="DefaultParagraphFont"/>
    <w:link w:val="FootnoteText"/>
    <w:uiPriority w:val="99"/>
    <w:semiHidden/>
    <w:rsid w:val="005320E8"/>
    <w:rPr>
      <w:sz w:val="20"/>
      <w:szCs w:val="20"/>
    </w:rPr>
  </w:style>
  <w:style w:type="character" w:styleId="FootnoteReference">
    <w:name w:val="footnote reference"/>
    <w:uiPriority w:val="99"/>
    <w:semiHidden/>
    <w:unhideWhenUsed/>
    <w:rsid w:val="005320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5320E8"/>
    <w:rPr>
      <w:sz w:val="20"/>
      <w:szCs w:val="20"/>
    </w:rPr>
  </w:style>
  <w:style w:type="character" w:customStyle="1" w:styleId="FootnoteTextChar">
    <w:name w:val="Footnote Text Char"/>
    <w:basedOn w:val="DefaultParagraphFont"/>
    <w:link w:val="FootnoteText"/>
    <w:uiPriority w:val="99"/>
    <w:semiHidden/>
    <w:rsid w:val="005320E8"/>
    <w:rPr>
      <w:sz w:val="20"/>
      <w:szCs w:val="20"/>
    </w:rPr>
  </w:style>
  <w:style w:type="character" w:styleId="FootnoteReference">
    <w:name w:val="footnote reference"/>
    <w:uiPriority w:val="99"/>
    <w:semiHidden/>
    <w:unhideWhenUsed/>
    <w:rsid w:val="00532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2016-12-07T00:05:00Z</dcterms:created>
  <dcterms:modified xsi:type="dcterms:W3CDTF">2016-12-20T14:49:00Z</dcterms:modified>
</cp:coreProperties>
</file>